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BFCF3"/>
  <w:body>
    <w:p w14:paraId="34A14637" w14:textId="77777777" w:rsidR="00F926A9" w:rsidRDefault="00F926A9">
      <w:pPr>
        <w:spacing w:before="240" w:after="0"/>
        <w:jc w:val="center"/>
        <w:rPr>
          <w:rFonts w:ascii="Cambria" w:eastAsia="EB Garamond" w:hAnsi="Cambria" w:cs="EB Garamond"/>
          <w:b/>
          <w:color w:val="215B57"/>
          <w:sz w:val="32"/>
          <w:szCs w:val="32"/>
          <w:u w:color="000000"/>
          <w:lang w:eastAsia="fi-FI" w:bidi="ar-SA"/>
        </w:rPr>
      </w:pPr>
      <w:r w:rsidRPr="00F926A9">
        <w:rPr>
          <w:rFonts w:ascii="Cambria" w:eastAsia="EB Garamond" w:hAnsi="Cambria" w:cs="EB Garamond"/>
          <w:b/>
          <w:color w:val="215B57"/>
          <w:sz w:val="32"/>
          <w:szCs w:val="32"/>
          <w:u w:color="000000"/>
          <w:lang w:eastAsia="fi-FI" w:bidi="ar-SA"/>
        </w:rPr>
        <w:t xml:space="preserve">Enforcing Music Royalties Against Franchise Restaurants: Restorative Justice and the Mie </w:t>
      </w:r>
      <w:proofErr w:type="spellStart"/>
      <w:r w:rsidRPr="00F926A9">
        <w:rPr>
          <w:rFonts w:ascii="Cambria" w:eastAsia="EB Garamond" w:hAnsi="Cambria" w:cs="EB Garamond"/>
          <w:b/>
          <w:color w:val="215B57"/>
          <w:sz w:val="32"/>
          <w:szCs w:val="32"/>
          <w:u w:color="000000"/>
          <w:lang w:eastAsia="fi-FI" w:bidi="ar-SA"/>
        </w:rPr>
        <w:t>Gacoan</w:t>
      </w:r>
      <w:proofErr w:type="spellEnd"/>
      <w:r w:rsidRPr="00F926A9">
        <w:rPr>
          <w:rFonts w:ascii="Cambria" w:eastAsia="EB Garamond" w:hAnsi="Cambria" w:cs="EB Garamond"/>
          <w:b/>
          <w:color w:val="215B57"/>
          <w:sz w:val="32"/>
          <w:szCs w:val="32"/>
          <w:u w:color="000000"/>
          <w:lang w:eastAsia="fi-FI" w:bidi="ar-SA"/>
        </w:rPr>
        <w:t xml:space="preserve"> Case</w:t>
      </w:r>
    </w:p>
    <w:p w14:paraId="70DF7A6E" w14:textId="38980636" w:rsidR="00A90240" w:rsidRPr="00F926A9" w:rsidRDefault="00F926A9" w:rsidP="00F926A9">
      <w:pPr>
        <w:spacing w:before="240" w:after="0"/>
        <w:jc w:val="center"/>
        <w:rPr>
          <w:rFonts w:ascii="Cambria" w:hAnsi="Cambria"/>
          <w:lang w:val="en-AU" w:eastAsia="fi-FI" w:bidi="ar-SA"/>
        </w:rPr>
      </w:pPr>
      <w:r w:rsidRPr="00F926A9">
        <w:rPr>
          <w:rFonts w:ascii="Cambria" w:hAnsi="Cambria"/>
          <w:lang w:val="en-AU" w:eastAsia="fi-FI" w:bidi="ar-SA"/>
        </w:rPr>
        <w:t>Amunda Nur Alfiannisa</w:t>
      </w:r>
      <w:r w:rsidRPr="00F926A9">
        <w:rPr>
          <w:rFonts w:ascii="Cambria" w:hAnsi="Cambria"/>
          <w:vertAlign w:val="superscript"/>
          <w:lang w:val="en-AU" w:eastAsia="fi-FI" w:bidi="ar-SA"/>
        </w:rPr>
        <w:t>1</w:t>
      </w:r>
      <w:r w:rsidRPr="00F926A9">
        <w:rPr>
          <w:rFonts w:ascii="Cambria" w:hAnsi="Cambria"/>
          <w:lang w:val="en-AU" w:eastAsia="fi-FI" w:bidi="ar-SA"/>
        </w:rPr>
        <w:t>, Zahra Damayanti Gumilar</w:t>
      </w:r>
      <w:r w:rsidRPr="00F926A9">
        <w:rPr>
          <w:rFonts w:ascii="Cambria" w:hAnsi="Cambria"/>
          <w:vertAlign w:val="superscript"/>
          <w:lang w:val="en-AU" w:eastAsia="fi-FI" w:bidi="ar-SA"/>
        </w:rPr>
        <w:t>2</w:t>
      </w:r>
      <w:r w:rsidRPr="00F926A9">
        <w:rPr>
          <w:rFonts w:ascii="Cambria" w:hAnsi="Cambria"/>
          <w:lang w:val="en-AU" w:eastAsia="fi-FI" w:bidi="ar-SA"/>
        </w:rPr>
        <w:t xml:space="preserve">, </w:t>
      </w:r>
      <w:proofErr w:type="spellStart"/>
      <w:r w:rsidRPr="00F926A9">
        <w:rPr>
          <w:rFonts w:ascii="Cambria" w:hAnsi="Cambria"/>
          <w:lang w:val="en-AU" w:eastAsia="fi-FI" w:bidi="ar-SA"/>
        </w:rPr>
        <w:t>Deswita</w:t>
      </w:r>
      <w:proofErr w:type="spellEnd"/>
      <w:r w:rsidRPr="00F926A9">
        <w:rPr>
          <w:rFonts w:ascii="Cambria" w:hAnsi="Cambria"/>
          <w:lang w:val="en-AU" w:eastAsia="fi-FI" w:bidi="ar-SA"/>
        </w:rPr>
        <w:t xml:space="preserve"> Nurhaliza</w:t>
      </w:r>
      <w:r w:rsidRPr="00F926A9">
        <w:rPr>
          <w:rFonts w:ascii="Cambria" w:hAnsi="Cambria"/>
          <w:vertAlign w:val="superscript"/>
          <w:lang w:val="en-AU" w:eastAsia="fi-FI" w:bidi="ar-SA"/>
        </w:rPr>
        <w:t>3</w:t>
      </w:r>
      <w:r w:rsidRPr="00F926A9">
        <w:rPr>
          <w:rFonts w:ascii="Cambria" w:hAnsi="Cambria"/>
          <w:lang w:val="en-AU" w:eastAsia="fi-FI" w:bidi="ar-SA"/>
        </w:rPr>
        <w:t xml:space="preserve">, Ikhwan </w:t>
      </w:r>
      <w:proofErr w:type="spellStart"/>
      <w:r w:rsidRPr="00F926A9">
        <w:rPr>
          <w:rFonts w:ascii="Cambria" w:hAnsi="Cambria"/>
          <w:lang w:val="en-AU" w:eastAsia="fi-FI" w:bidi="ar-SA"/>
        </w:rPr>
        <w:t>Aulia</w:t>
      </w:r>
      <w:proofErr w:type="spellEnd"/>
      <w:r w:rsidRPr="00F926A9">
        <w:rPr>
          <w:rFonts w:ascii="Cambria" w:hAnsi="Cambria"/>
          <w:lang w:val="en-AU" w:eastAsia="fi-FI" w:bidi="ar-SA"/>
        </w:rPr>
        <w:t xml:space="preserve"> Fatahillah</w:t>
      </w:r>
      <w:r w:rsidRPr="00F926A9">
        <w:rPr>
          <w:rFonts w:ascii="Cambria" w:hAnsi="Cambria"/>
          <w:vertAlign w:val="superscript"/>
          <w:lang w:val="en-AU" w:eastAsia="fi-FI" w:bidi="ar-SA"/>
        </w:rPr>
        <w:t>4</w:t>
      </w:r>
    </w:p>
    <w:p w14:paraId="4868B5A9" w14:textId="4FE76C46" w:rsidR="00A90240" w:rsidRDefault="00000000">
      <w:pPr>
        <w:spacing w:after="0"/>
        <w:jc w:val="center"/>
        <w:rPr>
          <w:rFonts w:ascii="Cambria" w:hAnsi="Cambria"/>
          <w:i/>
          <w:iCs/>
          <w:sz w:val="18"/>
          <w:szCs w:val="18"/>
          <w:lang w:val="id-ID" w:eastAsia="fi-FI" w:bidi="ar-SA"/>
        </w:rPr>
      </w:pPr>
      <w:r>
        <w:rPr>
          <w:rFonts w:ascii="Cambria" w:hAnsi="Cambria"/>
          <w:i/>
          <w:iCs/>
          <w:sz w:val="18"/>
          <w:szCs w:val="18"/>
          <w:vertAlign w:val="superscript"/>
          <w:lang w:val="id-ID" w:eastAsia="fi-FI" w:bidi="ar-SA"/>
        </w:rPr>
        <w:t>1</w:t>
      </w:r>
      <w:r w:rsidR="00D5014D">
        <w:rPr>
          <w:rFonts w:ascii="Cambria" w:hAnsi="Cambria"/>
          <w:i/>
          <w:iCs/>
          <w:sz w:val="18"/>
          <w:szCs w:val="18"/>
          <w:vertAlign w:val="superscript"/>
          <w:lang w:val="id-ID" w:eastAsia="fi-FI" w:bidi="ar-SA"/>
        </w:rPr>
        <w:t>,,</w:t>
      </w:r>
      <w:r>
        <w:rPr>
          <w:rFonts w:ascii="Cambria" w:hAnsi="Cambria"/>
          <w:i/>
          <w:iCs/>
          <w:sz w:val="18"/>
          <w:szCs w:val="18"/>
          <w:vertAlign w:val="superscript"/>
          <w:lang w:val="id-ID" w:eastAsia="fi-FI" w:bidi="ar-SA"/>
        </w:rPr>
        <w:t>2</w:t>
      </w:r>
      <w:r w:rsidR="00D5014D">
        <w:rPr>
          <w:rFonts w:ascii="Cambria" w:hAnsi="Cambria"/>
          <w:i/>
          <w:iCs/>
          <w:sz w:val="18"/>
          <w:szCs w:val="18"/>
          <w:vertAlign w:val="superscript"/>
          <w:lang w:val="id-ID" w:eastAsia="fi-FI" w:bidi="ar-SA"/>
        </w:rPr>
        <w:t>,</w:t>
      </w:r>
      <w:r>
        <w:rPr>
          <w:rFonts w:ascii="Cambria" w:hAnsi="Cambria"/>
          <w:i/>
          <w:iCs/>
          <w:sz w:val="18"/>
          <w:szCs w:val="18"/>
          <w:vertAlign w:val="superscript"/>
          <w:lang w:val="id-ID" w:eastAsia="fi-FI" w:bidi="ar-SA"/>
        </w:rPr>
        <w:t>3</w:t>
      </w:r>
      <w:r w:rsidR="00D5014D">
        <w:rPr>
          <w:rFonts w:ascii="Cambria" w:hAnsi="Cambria"/>
          <w:i/>
          <w:iCs/>
          <w:sz w:val="18"/>
          <w:szCs w:val="18"/>
          <w:vertAlign w:val="superscript"/>
          <w:lang w:val="id-ID" w:eastAsia="fi-FI" w:bidi="ar-SA"/>
        </w:rPr>
        <w:t>,</w:t>
      </w:r>
      <w:r>
        <w:rPr>
          <w:rFonts w:ascii="Cambria" w:hAnsi="Cambria"/>
          <w:i/>
          <w:iCs/>
          <w:sz w:val="18"/>
          <w:szCs w:val="18"/>
          <w:vertAlign w:val="superscript"/>
          <w:lang w:val="id-ID" w:eastAsia="fi-FI" w:bidi="ar-SA"/>
        </w:rPr>
        <w:t>4</w:t>
      </w:r>
      <w:r w:rsidR="00D5014D">
        <w:rPr>
          <w:rFonts w:ascii="Cambria" w:hAnsi="Cambria"/>
          <w:i/>
          <w:iCs/>
          <w:sz w:val="18"/>
          <w:szCs w:val="18"/>
          <w:vertAlign w:val="superscript"/>
          <w:lang w:val="id-ID" w:eastAsia="fi-FI" w:bidi="ar-SA"/>
        </w:rPr>
        <w:t xml:space="preserve"> </w:t>
      </w:r>
      <w:r w:rsidR="00621443">
        <w:rPr>
          <w:rFonts w:ascii="Cambria" w:hAnsi="Cambria"/>
          <w:i/>
          <w:iCs/>
          <w:sz w:val="18"/>
          <w:szCs w:val="18"/>
          <w:lang w:val="id-ID" w:eastAsia="fi-FI" w:bidi="ar-SA"/>
        </w:rPr>
        <w:t xml:space="preserve">Universitas Islam Negeri Sunan Gunung Djati Bandung </w:t>
      </w:r>
    </w:p>
    <w:p w14:paraId="740DFD37" w14:textId="6775F89C" w:rsidR="00A90240" w:rsidRPr="00621443" w:rsidRDefault="00000000">
      <w:pPr>
        <w:spacing w:after="0"/>
        <w:jc w:val="center"/>
        <w:rPr>
          <w:rFonts w:ascii="Cambria" w:hAnsi="Cambria"/>
          <w:color w:val="000000" w:themeColor="text1"/>
          <w:sz w:val="18"/>
          <w:szCs w:val="18"/>
          <w:lang w:val="id-ID" w:eastAsia="fi-FI" w:bidi="ar-SA"/>
        </w:rPr>
      </w:pPr>
      <w:r>
        <w:rPr>
          <w:rFonts w:ascii="Cambria" w:hAnsi="Cambria"/>
          <w:sz w:val="18"/>
          <w:szCs w:val="18"/>
          <w:vertAlign w:val="superscript"/>
          <w:lang w:val="id-ID" w:eastAsia="fi-FI" w:bidi="ar-SA"/>
        </w:rPr>
        <w:t>*</w:t>
      </w:r>
      <w:r>
        <w:rPr>
          <w:rFonts w:ascii="Cambria" w:hAnsi="Cambria"/>
          <w:sz w:val="18"/>
          <w:szCs w:val="18"/>
          <w:lang w:val="id-ID" w:eastAsia="fi-FI" w:bidi="ar-SA"/>
        </w:rPr>
        <w:t xml:space="preserve">Correspondence: </w:t>
      </w:r>
      <w:hyperlink r:id="rId10" w:history="1">
        <w:r w:rsidR="00F926A9" w:rsidRPr="002B0FBF">
          <w:rPr>
            <w:rStyle w:val="Hyperlink"/>
            <w:rFonts w:ascii="Cambria" w:hAnsi="Cambria"/>
            <w:sz w:val="18"/>
            <w:szCs w:val="18"/>
            <w:lang w:val="id-ID" w:eastAsia="fi-FI" w:bidi="ar-SA"/>
          </w:rPr>
          <w:t>mundanuralfiannisa@gmail.com</w:t>
        </w:r>
      </w:hyperlink>
      <w:r w:rsidR="00F926A9">
        <w:rPr>
          <w:rFonts w:ascii="Cambria" w:hAnsi="Cambria"/>
          <w:sz w:val="18"/>
          <w:szCs w:val="18"/>
          <w:lang w:val="id-ID" w:eastAsia="fi-FI" w:bidi="ar-SA"/>
        </w:rPr>
        <w:t xml:space="preserve"> </w:t>
      </w:r>
    </w:p>
    <w:p w14:paraId="57B82B9A" w14:textId="77777777" w:rsidR="00A90240" w:rsidRDefault="00A90240">
      <w:pPr>
        <w:spacing w:after="0"/>
        <w:jc w:val="center"/>
        <w:rPr>
          <w:rFonts w:ascii="Cambria" w:hAnsi="Cambria"/>
          <w:sz w:val="18"/>
          <w:szCs w:val="18"/>
          <w:vertAlign w:val="superscript"/>
          <w:lang w:val="id-ID" w:eastAsia="fi-FI" w:bidi="ar-SA"/>
        </w:rPr>
      </w:pPr>
    </w:p>
    <w:p w14:paraId="4F6DA044" w14:textId="420222EE" w:rsidR="00A90240" w:rsidRDefault="00000000">
      <w:pPr>
        <w:tabs>
          <w:tab w:val="left" w:pos="142"/>
        </w:tabs>
        <w:spacing w:after="0" w:line="240" w:lineRule="auto"/>
        <w:ind w:right="88"/>
        <w:jc w:val="center"/>
        <w:rPr>
          <w:rFonts w:ascii="Cambria" w:eastAsia="EB Garamond" w:hAnsi="Cambria" w:cs="EB Garamond"/>
          <w:color w:val="000000"/>
          <w:sz w:val="18"/>
          <w:szCs w:val="18"/>
        </w:rPr>
      </w:pPr>
      <w:r w:rsidRPr="0045046C">
        <w:rPr>
          <w:rFonts w:ascii="Cambria" w:eastAsia="EB Garamond" w:hAnsi="Cambria" w:cs="EB Garamond"/>
          <w:b/>
          <w:color w:val="000000"/>
          <w:sz w:val="18"/>
          <w:szCs w:val="18"/>
        </w:rPr>
        <w:t>Article Info:</w:t>
      </w:r>
      <w:r w:rsidRPr="0045046C">
        <w:rPr>
          <w:rFonts w:ascii="Cambria" w:eastAsia="EB Garamond" w:hAnsi="Cambria" w:cs="EB Garamond"/>
          <w:color w:val="000000"/>
          <w:sz w:val="18"/>
          <w:szCs w:val="18"/>
        </w:rPr>
        <w:t xml:space="preserve"> [Submitted: 1</w:t>
      </w:r>
      <w:r w:rsidR="00F926A9">
        <w:rPr>
          <w:rFonts w:ascii="Cambria" w:eastAsia="EB Garamond" w:hAnsi="Cambria" w:cs="EB Garamond"/>
          <w:color w:val="000000"/>
          <w:sz w:val="18"/>
          <w:szCs w:val="18"/>
        </w:rPr>
        <w:t>4</w:t>
      </w:r>
      <w:r w:rsidRPr="0045046C">
        <w:rPr>
          <w:rFonts w:ascii="Cambria" w:eastAsia="EB Garamond" w:hAnsi="Cambria" w:cs="EB Garamond"/>
          <w:color w:val="000000"/>
          <w:sz w:val="18"/>
          <w:szCs w:val="18"/>
        </w:rPr>
        <w:t xml:space="preserve"> </w:t>
      </w:r>
      <w:r w:rsidR="00A31881">
        <w:rPr>
          <w:rFonts w:ascii="Cambria" w:eastAsia="EB Garamond" w:hAnsi="Cambria" w:cs="EB Garamond"/>
          <w:color w:val="000000"/>
          <w:sz w:val="18"/>
          <w:szCs w:val="18"/>
        </w:rPr>
        <w:t>June</w:t>
      </w:r>
      <w:r w:rsidRPr="0045046C">
        <w:rPr>
          <w:rFonts w:ascii="Cambria" w:eastAsia="EB Garamond" w:hAnsi="Cambria" w:cs="EB Garamond"/>
          <w:color w:val="000000"/>
          <w:sz w:val="18"/>
          <w:szCs w:val="18"/>
        </w:rPr>
        <w:t xml:space="preserve"> 202</w:t>
      </w:r>
      <w:r w:rsidR="005E277B" w:rsidRPr="0045046C">
        <w:rPr>
          <w:rFonts w:ascii="Cambria" w:eastAsia="EB Garamond" w:hAnsi="Cambria" w:cs="EB Garamond"/>
          <w:color w:val="000000"/>
          <w:sz w:val="18"/>
          <w:szCs w:val="18"/>
        </w:rPr>
        <w:t>6</w:t>
      </w:r>
      <w:r w:rsidRPr="0045046C">
        <w:rPr>
          <w:rFonts w:ascii="Cambria" w:eastAsia="EB Garamond" w:hAnsi="Cambria" w:cs="EB Garamond"/>
          <w:color w:val="000000"/>
          <w:sz w:val="18"/>
          <w:szCs w:val="18"/>
        </w:rPr>
        <w:t xml:space="preserve"> | Revised Version </w:t>
      </w:r>
      <w:r w:rsidR="00F926A9">
        <w:rPr>
          <w:rFonts w:ascii="Cambria" w:eastAsia="EB Garamond" w:hAnsi="Cambria" w:cs="EB Garamond"/>
          <w:color w:val="000000"/>
          <w:sz w:val="18"/>
          <w:szCs w:val="18"/>
        </w:rPr>
        <w:t>10</w:t>
      </w:r>
      <w:r w:rsidRPr="0045046C">
        <w:rPr>
          <w:rFonts w:ascii="Cambria" w:eastAsia="EB Garamond" w:hAnsi="Cambria" w:cs="EB Garamond"/>
          <w:color w:val="000000"/>
          <w:sz w:val="18"/>
          <w:szCs w:val="18"/>
        </w:rPr>
        <w:t xml:space="preserve"> Ju</w:t>
      </w:r>
      <w:r w:rsidR="00F926A9">
        <w:rPr>
          <w:rFonts w:ascii="Cambria" w:eastAsia="EB Garamond" w:hAnsi="Cambria" w:cs="EB Garamond"/>
          <w:color w:val="000000"/>
          <w:sz w:val="18"/>
          <w:szCs w:val="18"/>
        </w:rPr>
        <w:t>l</w:t>
      </w:r>
      <w:r w:rsidRPr="0045046C">
        <w:rPr>
          <w:rFonts w:ascii="Cambria" w:eastAsia="EB Garamond" w:hAnsi="Cambria" w:cs="EB Garamond"/>
          <w:color w:val="000000"/>
          <w:sz w:val="18"/>
          <w:szCs w:val="18"/>
        </w:rPr>
        <w:t>e 202</w:t>
      </w:r>
      <w:r w:rsidR="005E277B" w:rsidRPr="0045046C">
        <w:rPr>
          <w:rFonts w:ascii="Cambria" w:eastAsia="EB Garamond" w:hAnsi="Cambria" w:cs="EB Garamond"/>
          <w:color w:val="000000"/>
          <w:sz w:val="18"/>
          <w:szCs w:val="18"/>
        </w:rPr>
        <w:t>6</w:t>
      </w:r>
      <w:r w:rsidRPr="0045046C">
        <w:rPr>
          <w:rFonts w:ascii="Cambria" w:eastAsia="EB Garamond" w:hAnsi="Cambria" w:cs="EB Garamond"/>
          <w:color w:val="000000"/>
          <w:sz w:val="18"/>
          <w:szCs w:val="18"/>
        </w:rPr>
        <w:t xml:space="preserve"> | Accepted: </w:t>
      </w:r>
      <w:r w:rsidR="005E277B" w:rsidRPr="0045046C">
        <w:rPr>
          <w:rFonts w:ascii="Cambria" w:eastAsia="EB Garamond" w:hAnsi="Cambria" w:cs="EB Garamond"/>
          <w:color w:val="000000"/>
          <w:sz w:val="18"/>
          <w:szCs w:val="18"/>
        </w:rPr>
        <w:t>15</w:t>
      </w:r>
      <w:r w:rsidRPr="0045046C">
        <w:rPr>
          <w:rFonts w:ascii="Cambria" w:eastAsia="EB Garamond" w:hAnsi="Cambria" w:cs="EB Garamond"/>
          <w:color w:val="000000"/>
          <w:sz w:val="18"/>
          <w:szCs w:val="18"/>
        </w:rPr>
        <w:t xml:space="preserve"> J</w:t>
      </w:r>
      <w:r w:rsidR="005E277B" w:rsidRPr="0045046C">
        <w:rPr>
          <w:rFonts w:ascii="Cambria" w:eastAsia="EB Garamond" w:hAnsi="Cambria" w:cs="EB Garamond"/>
          <w:color w:val="000000"/>
          <w:sz w:val="18"/>
          <w:szCs w:val="18"/>
        </w:rPr>
        <w:t>uly</w:t>
      </w:r>
      <w:r w:rsidRPr="0045046C">
        <w:rPr>
          <w:rFonts w:ascii="Cambria" w:eastAsia="EB Garamond" w:hAnsi="Cambria" w:cs="EB Garamond"/>
          <w:color w:val="000000"/>
          <w:sz w:val="18"/>
          <w:szCs w:val="18"/>
        </w:rPr>
        <w:t xml:space="preserve"> 202</w:t>
      </w:r>
      <w:r w:rsidR="005E277B" w:rsidRPr="0045046C">
        <w:rPr>
          <w:rFonts w:ascii="Cambria" w:eastAsia="EB Garamond" w:hAnsi="Cambria" w:cs="EB Garamond"/>
          <w:color w:val="000000"/>
          <w:sz w:val="18"/>
          <w:szCs w:val="18"/>
        </w:rPr>
        <w:t>6</w:t>
      </w:r>
      <w:r w:rsidRPr="0045046C">
        <w:rPr>
          <w:rFonts w:ascii="Cambria" w:eastAsia="EB Garamond" w:hAnsi="Cambria" w:cs="EB Garamond"/>
          <w:color w:val="000000"/>
          <w:sz w:val="18"/>
          <w:szCs w:val="18"/>
        </w:rPr>
        <w:t>]</w:t>
      </w:r>
    </w:p>
    <w:p w14:paraId="3BAA2B11" w14:textId="77777777" w:rsidR="00A90240" w:rsidRDefault="00A90240">
      <w:pPr>
        <w:spacing w:after="0" w:line="240" w:lineRule="auto"/>
        <w:rPr>
          <w:rFonts w:ascii="EB Garamond" w:eastAsia="EB Garamond" w:hAnsi="EB Garamond" w:cs="EB Garamond"/>
          <w:i/>
          <w:color w:val="000000"/>
          <w:sz w:val="20"/>
          <w:szCs w:val="20"/>
        </w:rPr>
      </w:pPr>
    </w:p>
    <w:p w14:paraId="0A430744" w14:textId="77777777" w:rsidR="00A90240" w:rsidRDefault="00A90240">
      <w:pPr>
        <w:spacing w:after="0" w:line="240" w:lineRule="auto"/>
        <w:rPr>
          <w:rFonts w:ascii="EB Garamond" w:eastAsia="EB Garamond" w:hAnsi="EB Garamond" w:cs="EB Garamond"/>
          <w:i/>
          <w:color w:val="000000"/>
          <w:sz w:val="20"/>
          <w:szCs w:val="20"/>
        </w:rPr>
      </w:pPr>
    </w:p>
    <w:p w14:paraId="487A783F" w14:textId="675F477B" w:rsidR="00A90240" w:rsidRPr="00621443" w:rsidRDefault="00000000">
      <w:pPr>
        <w:spacing w:after="0" w:line="240" w:lineRule="auto"/>
        <w:jc w:val="both"/>
        <w:rPr>
          <w:rFonts w:ascii="Cambria" w:eastAsia="EB Garamond" w:hAnsi="Cambria" w:cs="EB Garamond"/>
          <w:color w:val="000000"/>
          <w:sz w:val="20"/>
          <w:szCs w:val="20"/>
        </w:rPr>
      </w:pPr>
      <w:r w:rsidRPr="00621443">
        <w:rPr>
          <w:rFonts w:ascii="Cambria" w:eastAsia="EB Garamond" w:hAnsi="Cambria" w:cs="EB Garamond"/>
          <w:b/>
          <w:color w:val="000000"/>
          <w:sz w:val="20"/>
          <w:szCs w:val="20"/>
        </w:rPr>
        <w:t>Abstract:</w:t>
      </w:r>
      <w:r w:rsidRPr="00621443">
        <w:rPr>
          <w:rFonts w:ascii="Cambria" w:eastAsia="EB Garamond" w:hAnsi="Cambria" w:cs="EB Garamond"/>
          <w:sz w:val="20"/>
          <w:szCs w:val="20"/>
        </w:rPr>
        <w:t xml:space="preserve"> </w:t>
      </w:r>
      <w:r w:rsidR="00F926A9" w:rsidRPr="00F926A9">
        <w:rPr>
          <w:rFonts w:ascii="Cambria" w:eastAsia="EB Garamond" w:hAnsi="Cambria" w:cs="EB Garamond"/>
          <w:i/>
          <w:iCs/>
          <w:sz w:val="20"/>
          <w:szCs w:val="20"/>
        </w:rPr>
        <w:t xml:space="preserve">Indonesian law has obliged restaurants to pay music royalties since 2021, yet compliance among large culinary chains remained negligible until a criminal investigation was opened in Bali. This study asks why the royalty obligation produced compliance only after </w:t>
      </w:r>
      <w:proofErr w:type="spellStart"/>
      <w:r w:rsidR="00F926A9" w:rsidRPr="00F926A9">
        <w:rPr>
          <w:rFonts w:ascii="Cambria" w:eastAsia="EB Garamond" w:hAnsi="Cambria" w:cs="EB Garamond"/>
          <w:i/>
          <w:iCs/>
          <w:sz w:val="20"/>
          <w:szCs w:val="20"/>
        </w:rPr>
        <w:t>criminalisation</w:t>
      </w:r>
      <w:proofErr w:type="spellEnd"/>
      <w:r w:rsidR="00F926A9" w:rsidRPr="00F926A9">
        <w:rPr>
          <w:rFonts w:ascii="Cambria" w:eastAsia="EB Garamond" w:hAnsi="Cambria" w:cs="EB Garamond"/>
          <w:i/>
          <w:iCs/>
          <w:sz w:val="20"/>
          <w:szCs w:val="20"/>
        </w:rPr>
        <w:t xml:space="preserve">, and what the Constitutional Court decision of 17 December 2025 means for the settlement model that closed the dispute between the national collective management system and the operator of a large noodle-restaurant chain. The study combines doctrinal legal analysis with a supporting empirical layer built from published royalty-collection statistics, the official tariff schedule, and a documented case timeline. Three findings emerge. First, the settlement of more than two billion rupiah, reconstructed against the statutory tariff, implies an average of roughly seventy-three to ninety-seven chargeable seats per outlet, and by itself equals close to three percent of all analogue royalties collected nationally in 2024, which indicates chronic under-collection rather than an isolated breach. Second, compliance was driven by enforcement pressure rather than by legal awareness. Third, the Constitutional Court has converted restorative justice from prosecutorial discretion into a constitutional precondition, which </w:t>
      </w:r>
      <w:proofErr w:type="spellStart"/>
      <w:r w:rsidR="00F926A9" w:rsidRPr="00F926A9">
        <w:rPr>
          <w:rFonts w:ascii="Cambria" w:eastAsia="EB Garamond" w:hAnsi="Cambria" w:cs="EB Garamond"/>
          <w:i/>
          <w:iCs/>
          <w:sz w:val="20"/>
          <w:szCs w:val="20"/>
        </w:rPr>
        <w:t>stabilises</w:t>
      </w:r>
      <w:proofErr w:type="spellEnd"/>
      <w:r w:rsidR="00F926A9" w:rsidRPr="00F926A9">
        <w:rPr>
          <w:rFonts w:ascii="Cambria" w:eastAsia="EB Garamond" w:hAnsi="Cambria" w:cs="EB Garamond"/>
          <w:i/>
          <w:iCs/>
          <w:sz w:val="20"/>
          <w:szCs w:val="20"/>
        </w:rPr>
        <w:t xml:space="preserve"> the settlement model but sharpens the risk of enforcement that reaches only the largest and most visible users</w:t>
      </w:r>
      <w:r w:rsidRPr="00F926A9">
        <w:rPr>
          <w:rFonts w:ascii="Cambria" w:eastAsia="EB Garamond" w:hAnsi="Cambria" w:cs="EB Garamond"/>
          <w:i/>
          <w:iCs/>
          <w:sz w:val="20"/>
          <w:szCs w:val="20"/>
        </w:rPr>
        <w:t>.</w:t>
      </w:r>
    </w:p>
    <w:p w14:paraId="1D63D9BD" w14:textId="77777777" w:rsidR="00A90240" w:rsidRDefault="00A90240">
      <w:pPr>
        <w:spacing w:after="0" w:line="240" w:lineRule="auto"/>
        <w:jc w:val="both"/>
        <w:rPr>
          <w:rFonts w:ascii="EB Garamond" w:eastAsia="EB Garamond" w:hAnsi="EB Garamond" w:cs="EB Garamond"/>
          <w:color w:val="000000"/>
          <w:sz w:val="20"/>
          <w:szCs w:val="20"/>
        </w:rPr>
      </w:pPr>
    </w:p>
    <w:p w14:paraId="12AAEB90" w14:textId="68DF64B6" w:rsidR="00621443" w:rsidRDefault="00000000" w:rsidP="00621443">
      <w:pPr>
        <w:spacing w:after="0" w:line="240" w:lineRule="auto"/>
        <w:jc w:val="both"/>
        <w:rPr>
          <w:rFonts w:ascii="Cambria" w:eastAsia="EB Garamond" w:hAnsi="Cambria" w:cs="EB Garamond"/>
          <w:i/>
          <w:iCs/>
          <w:color w:val="000000"/>
          <w:sz w:val="20"/>
          <w:szCs w:val="20"/>
        </w:rPr>
      </w:pPr>
      <w:r>
        <w:rPr>
          <w:rFonts w:ascii="Cambria" w:eastAsia="EB Garamond" w:hAnsi="Cambria" w:cs="EB Garamond"/>
          <w:b/>
          <w:i/>
          <w:iCs/>
          <w:color w:val="000000"/>
          <w:sz w:val="20"/>
          <w:szCs w:val="20"/>
        </w:rPr>
        <w:t>Keywords:</w:t>
      </w:r>
      <w:r>
        <w:rPr>
          <w:rFonts w:ascii="Cambria" w:eastAsia="EB Garamond" w:hAnsi="Cambria" w:cs="EB Garamond"/>
          <w:i/>
          <w:iCs/>
          <w:color w:val="000000"/>
          <w:sz w:val="20"/>
          <w:szCs w:val="20"/>
        </w:rPr>
        <w:t xml:space="preserve"> </w:t>
      </w:r>
      <w:r w:rsidR="00F926A9" w:rsidRPr="00F926A9">
        <w:rPr>
          <w:rFonts w:ascii="Cambria" w:eastAsia="EB Garamond" w:hAnsi="Cambria" w:cs="EB Garamond"/>
          <w:i/>
          <w:iCs/>
          <w:color w:val="000000"/>
          <w:sz w:val="20"/>
          <w:szCs w:val="20"/>
        </w:rPr>
        <w:t>music royalties; economic rights; legal effectiveness; restorative justice; collective management</w:t>
      </w:r>
      <w:r>
        <w:rPr>
          <w:rFonts w:ascii="Cambria" w:eastAsia="EB Garamond" w:hAnsi="Cambria" w:cs="EB Garamond"/>
          <w:i/>
          <w:iCs/>
          <w:color w:val="000000"/>
          <w:sz w:val="20"/>
          <w:szCs w:val="20"/>
        </w:rPr>
        <w:t>.</w:t>
      </w:r>
    </w:p>
    <w:p w14:paraId="41694009" w14:textId="040D70BE" w:rsidR="00A90240" w:rsidRPr="00C626FA" w:rsidRDefault="00000000" w:rsidP="00C626FA">
      <w:pPr>
        <w:spacing w:before="240" w:line="240" w:lineRule="auto"/>
        <w:jc w:val="center"/>
        <w:rPr>
          <w:rFonts w:ascii="Cambria" w:eastAsia="EB Garamond" w:hAnsi="Cambria" w:cs="EB Garamond"/>
          <w:i/>
          <w:iCs/>
          <w:color w:val="000000"/>
          <w:sz w:val="24"/>
          <w:szCs w:val="24"/>
        </w:rPr>
      </w:pPr>
      <w:r w:rsidRPr="00C626FA">
        <w:rPr>
          <w:rFonts w:ascii="Cambria" w:eastAsia="EB Garamond" w:hAnsi="Cambria" w:cs="EB Garamond"/>
          <w:b/>
          <w:color w:val="215B57"/>
          <w:sz w:val="28"/>
          <w:szCs w:val="36"/>
        </w:rPr>
        <w:t>Introduction</w:t>
      </w:r>
    </w:p>
    <w:p w14:paraId="78B2CD74"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Music has become an operating input of the Indonesian food and beverage industry rather than an ornament of it. Recorded songs shape the atmosphere of a dining room, lengthen the average visit, and are deliberately curated to express a brand. That commercial function is precisely what the law fastens onto: once a work is played to support a business, its use crosses from private enjoyment into the exclusive economic right of the creator, the copyright holder, and the owner of related rights.</w:t>
      </w:r>
      <w:r w:rsidRPr="00F926A9">
        <w:rPr>
          <w:rFonts w:ascii="Cambria" w:eastAsia="Cambria" w:hAnsi="Cambria" w:cs="Times New Roman"/>
          <w:sz w:val="24"/>
          <w:szCs w:val="24"/>
          <w:vertAlign w:val="superscript"/>
          <w:lang w:val="en-AU" w:eastAsia="en-AU" w:bidi="ar-SA"/>
        </w:rPr>
        <w:footnoteReference w:id="1"/>
      </w:r>
      <w:r w:rsidRPr="00F926A9">
        <w:rPr>
          <w:rFonts w:ascii="Cambria" w:eastAsia="Cambria" w:hAnsi="Cambria" w:cs="Times New Roman"/>
          <w:sz w:val="24"/>
          <w:szCs w:val="24"/>
          <w:lang w:val="en-AU" w:eastAsia="en-AU" w:bidi="ar-SA"/>
        </w:rPr>
        <w:t xml:space="preserve"> Since 2021, Indonesian law has made this concrete by listing restaurants, cafés, pubs, bars, bistros, night clubs, and discotheques among the </w:t>
      </w:r>
      <w:r w:rsidRPr="00F926A9">
        <w:rPr>
          <w:rFonts w:ascii="Cambria" w:eastAsia="Cambria" w:hAnsi="Cambria" w:cs="Times New Roman"/>
          <w:sz w:val="24"/>
          <w:szCs w:val="24"/>
          <w:lang w:val="en-AU" w:eastAsia="en-AU" w:bidi="ar-SA"/>
        </w:rPr>
        <w:lastRenderedPageBreak/>
        <w:t>fourteen categories of commercial public services that must pay royalties through the national collective management institution.</w:t>
      </w:r>
      <w:r w:rsidRPr="00F926A9">
        <w:rPr>
          <w:rFonts w:ascii="Cambria" w:eastAsia="Cambria" w:hAnsi="Cambria" w:cs="Times New Roman"/>
          <w:sz w:val="24"/>
          <w:szCs w:val="24"/>
          <w:vertAlign w:val="superscript"/>
          <w:lang w:val="en-AU" w:eastAsia="en-AU" w:bidi="ar-SA"/>
        </w:rPr>
        <w:footnoteReference w:id="2"/>
      </w:r>
    </w:p>
    <w:p w14:paraId="7E80C35D"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The distance between that norm and everyday practice is measurable, and the measurement is unflattering. Analogue royalties collected nationally reached approximately IDR 77 billion in 2024, the highest figure since the collective management system was established, while distributions rose from roughly IDR 27.8 billion in 2022 to IDR 54.2 billion in 2024.</w:t>
      </w:r>
      <w:r w:rsidRPr="00F926A9">
        <w:rPr>
          <w:rFonts w:ascii="Cambria" w:eastAsia="Cambria" w:hAnsi="Cambria" w:cs="Times New Roman"/>
          <w:sz w:val="24"/>
          <w:szCs w:val="24"/>
          <w:vertAlign w:val="superscript"/>
          <w:lang w:val="en-AU" w:eastAsia="en-AU" w:bidi="ar-SA"/>
        </w:rPr>
        <w:footnoteReference w:id="3"/>
      </w:r>
      <w:r w:rsidRPr="00F926A9">
        <w:rPr>
          <w:rFonts w:ascii="Cambria" w:eastAsia="Cambria" w:hAnsi="Cambria" w:cs="Times New Roman"/>
          <w:sz w:val="24"/>
          <w:szCs w:val="24"/>
          <w:lang w:val="en-AU" w:eastAsia="en-AU" w:bidi="ar-SA"/>
        </w:rPr>
        <w:t xml:space="preserve"> In a country whose culinary sector counts hundreds of thousands of licensable venues, an annual collection of that magnitude describes a system that captures only a fraction of what the tariff schedule nominally entitles rights holders to receive. The gap is not primarily normative. The rule exists, the tariff exists, and the collecting institution exists. What has been missing is compliance.</w:t>
      </w:r>
    </w:p>
    <w:p w14:paraId="2CD3BA1A"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 xml:space="preserve">The dispute between the collective management organisation SELMI and PT Mitra Bali </w:t>
      </w:r>
      <w:proofErr w:type="spellStart"/>
      <w:r w:rsidRPr="00F926A9">
        <w:rPr>
          <w:rFonts w:ascii="Cambria" w:eastAsia="Cambria" w:hAnsi="Cambria" w:cs="Times New Roman"/>
          <w:sz w:val="24"/>
          <w:szCs w:val="24"/>
          <w:lang w:val="en-AU" w:eastAsia="en-AU" w:bidi="ar-SA"/>
        </w:rPr>
        <w:t>Sukses</w:t>
      </w:r>
      <w:proofErr w:type="spellEnd"/>
      <w:r w:rsidRPr="00F926A9">
        <w:rPr>
          <w:rFonts w:ascii="Cambria" w:eastAsia="Cambria" w:hAnsi="Cambria" w:cs="Times New Roman"/>
          <w:sz w:val="24"/>
          <w:szCs w:val="24"/>
          <w:lang w:val="en-AU" w:eastAsia="en-AU" w:bidi="ar-SA"/>
        </w:rPr>
        <w:t xml:space="preserve">, the operator of the Mie </w:t>
      </w:r>
      <w:proofErr w:type="spellStart"/>
      <w:r w:rsidRPr="00F926A9">
        <w:rPr>
          <w:rFonts w:ascii="Cambria" w:eastAsia="Cambria" w:hAnsi="Cambria" w:cs="Times New Roman"/>
          <w:sz w:val="24"/>
          <w:szCs w:val="24"/>
          <w:lang w:val="en-AU" w:eastAsia="en-AU" w:bidi="ar-SA"/>
        </w:rPr>
        <w:t>Gacoan</w:t>
      </w:r>
      <w:proofErr w:type="spellEnd"/>
      <w:r w:rsidRPr="00F926A9">
        <w:rPr>
          <w:rFonts w:ascii="Cambria" w:eastAsia="Cambria" w:hAnsi="Cambria" w:cs="Times New Roman"/>
          <w:sz w:val="24"/>
          <w:szCs w:val="24"/>
          <w:lang w:val="en-AU" w:eastAsia="en-AU" w:bidi="ar-SA"/>
        </w:rPr>
        <w:t xml:space="preserve"> chain, brought that gap into a single file. Billing efforts reportedly began in 2022 and produced no payment;</w:t>
      </w:r>
      <w:r w:rsidRPr="00F926A9">
        <w:rPr>
          <w:rFonts w:ascii="Cambria" w:eastAsia="Cambria" w:hAnsi="Cambria" w:cs="Times New Roman"/>
          <w:sz w:val="24"/>
          <w:szCs w:val="24"/>
          <w:vertAlign w:val="superscript"/>
          <w:lang w:val="en-AU" w:eastAsia="en-AU" w:bidi="ar-SA"/>
        </w:rPr>
        <w:footnoteReference w:id="4"/>
      </w:r>
      <w:r w:rsidRPr="00F926A9">
        <w:rPr>
          <w:rFonts w:ascii="Cambria" w:eastAsia="Cambria" w:hAnsi="Cambria" w:cs="Times New Roman"/>
          <w:sz w:val="24"/>
          <w:szCs w:val="24"/>
          <w:lang w:val="en-AU" w:eastAsia="en-AU" w:bidi="ar-SA"/>
        </w:rPr>
        <w:t xml:space="preserve"> a complaint was lodged in August 2024 and registered as a police report in January 2025; the company director was named a suspect; and only then, on 8 August 2025, did the parties sign a settlement under which the company paid IDR 2,264,502,000 covering song use across sixty-five outlets nationally through December 2025, after which the Bali Regional Police closed the case through restorative justice.</w:t>
      </w:r>
      <w:r w:rsidRPr="00F926A9">
        <w:rPr>
          <w:rFonts w:ascii="Cambria" w:eastAsia="Cambria" w:hAnsi="Cambria" w:cs="Times New Roman"/>
          <w:sz w:val="24"/>
          <w:szCs w:val="24"/>
          <w:vertAlign w:val="superscript"/>
          <w:lang w:val="en-AU" w:eastAsia="en-AU" w:bidi="ar-SA"/>
        </w:rPr>
        <w:footnoteReference w:id="5"/>
      </w:r>
      <w:r w:rsidRPr="00F926A9">
        <w:rPr>
          <w:rFonts w:ascii="Cambria" w:eastAsia="Cambria" w:hAnsi="Cambria" w:cs="Times New Roman"/>
          <w:sz w:val="24"/>
          <w:szCs w:val="24"/>
          <w:lang w:val="en-AU" w:eastAsia="en-AU" w:bidi="ar-SA"/>
        </w:rPr>
        <w:t xml:space="preserve"> The sequence is the analytically interesting part. Three years of persuasion produced nothing; four months of criminal exposure produced full payment.</w:t>
      </w:r>
    </w:p>
    <w:p w14:paraId="51973FE6"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Existing scholarship does not explain that sequence. Three strands dominate. The first analyses copyright infringement on social media and streaming platforms, where the user is an individual and the harm is diffuse. The second treats Government Regulation 56 of 2021 descriptively, restating the categories of commercial use and the mandate of the collecting institutions without testing whether either produces compliance.</w:t>
      </w:r>
      <w:r w:rsidRPr="00F926A9">
        <w:rPr>
          <w:rFonts w:ascii="Cambria" w:eastAsia="Cambria" w:hAnsi="Cambria" w:cs="Times New Roman"/>
          <w:sz w:val="24"/>
          <w:szCs w:val="24"/>
          <w:vertAlign w:val="superscript"/>
          <w:lang w:val="en-AU" w:eastAsia="en-AU" w:bidi="ar-SA"/>
        </w:rPr>
        <w:footnoteReference w:id="6"/>
      </w:r>
      <w:r w:rsidRPr="00F926A9">
        <w:rPr>
          <w:rFonts w:ascii="Cambria" w:eastAsia="Cambria" w:hAnsi="Cambria" w:cs="Times New Roman"/>
          <w:sz w:val="24"/>
          <w:szCs w:val="24"/>
          <w:lang w:val="en-AU" w:eastAsia="en-AU" w:bidi="ar-SA"/>
        </w:rPr>
        <w:t xml:space="preserve"> The third addresses restorative justice as a </w:t>
      </w:r>
      <w:r w:rsidRPr="00F926A9">
        <w:rPr>
          <w:rFonts w:ascii="Cambria" w:eastAsia="Cambria" w:hAnsi="Cambria" w:cs="Times New Roman"/>
          <w:sz w:val="24"/>
          <w:szCs w:val="24"/>
          <w:lang w:val="en-AU" w:eastAsia="en-AU" w:bidi="ar-SA"/>
        </w:rPr>
        <w:lastRenderedPageBreak/>
        <w:t>general development in Indonesian criminal procedure, or in trademark matters, without engaging the specific economics of royalty debt.</w:t>
      </w:r>
      <w:r w:rsidRPr="00F926A9">
        <w:rPr>
          <w:rFonts w:ascii="Cambria" w:eastAsia="Cambria" w:hAnsi="Cambria" w:cs="Times New Roman"/>
          <w:sz w:val="24"/>
          <w:szCs w:val="24"/>
          <w:vertAlign w:val="superscript"/>
          <w:lang w:val="en-AU" w:eastAsia="en-AU" w:bidi="ar-SA"/>
        </w:rPr>
        <w:footnoteReference w:id="7"/>
      </w:r>
      <w:r w:rsidRPr="00F926A9">
        <w:rPr>
          <w:rFonts w:ascii="Cambria" w:eastAsia="Cambria" w:hAnsi="Cambria" w:cs="Times New Roman"/>
          <w:sz w:val="24"/>
          <w:szCs w:val="24"/>
          <w:lang w:val="en-AU" w:eastAsia="en-AU" w:bidi="ar-SA"/>
        </w:rPr>
        <w:t xml:space="preserve"> Studies of collective management performance come closest, identifying weak oversight and low awareness among small and medium users,</w:t>
      </w:r>
      <w:r w:rsidRPr="00F926A9">
        <w:rPr>
          <w:rFonts w:ascii="Cambria" w:eastAsia="Cambria" w:hAnsi="Cambria" w:cs="Times New Roman"/>
          <w:sz w:val="24"/>
          <w:szCs w:val="24"/>
          <w:vertAlign w:val="superscript"/>
          <w:lang w:val="en-AU" w:eastAsia="en-AU" w:bidi="ar-SA"/>
        </w:rPr>
        <w:footnoteReference w:id="8"/>
      </w:r>
      <w:r w:rsidRPr="00F926A9">
        <w:rPr>
          <w:rFonts w:ascii="Cambria" w:eastAsia="Cambria" w:hAnsi="Cambria" w:cs="Times New Roman"/>
          <w:sz w:val="24"/>
          <w:szCs w:val="24"/>
          <w:lang w:val="en-AU" w:eastAsia="en-AU" w:bidi="ar-SA"/>
        </w:rPr>
        <w:t xml:space="preserve"> yet they stop at diagnosis and do not examine the corporate, multi-outlet user at all. The one published study of this case documents its financial and legal consequences, but does so descriptively, and it necessarily predates the constitutional turn of December 2025.</w:t>
      </w:r>
      <w:r w:rsidRPr="00F926A9">
        <w:rPr>
          <w:rFonts w:ascii="Cambria" w:eastAsia="Cambria" w:hAnsi="Cambria" w:cs="Times New Roman"/>
          <w:sz w:val="24"/>
          <w:szCs w:val="24"/>
          <w:vertAlign w:val="superscript"/>
          <w:lang w:val="en-AU" w:eastAsia="en-AU" w:bidi="ar-SA"/>
        </w:rPr>
        <w:footnoteReference w:id="9"/>
      </w:r>
    </w:p>
    <w:p w14:paraId="327B4D32"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That turn is what makes the present moment worth revisiting. On 17 December 2025 the Constitutional Court held that the criminal provision governing violations of economic rights is conditionally unconstitutional unless it is read as requiring restorative justice to be applied first, that reasonable remuneration must follow tariffs set by legislation, and that the party liable for royalties in commercial performances is the organiser.</w:t>
      </w:r>
      <w:r w:rsidRPr="00F926A9">
        <w:rPr>
          <w:rFonts w:ascii="Cambria" w:eastAsia="Cambria" w:hAnsi="Cambria" w:cs="Times New Roman"/>
          <w:sz w:val="24"/>
          <w:szCs w:val="24"/>
          <w:vertAlign w:val="superscript"/>
          <w:lang w:val="en-AU" w:eastAsia="en-AU" w:bidi="ar-SA"/>
        </w:rPr>
        <w:footnoteReference w:id="10"/>
      </w:r>
      <w:r w:rsidRPr="00F926A9">
        <w:rPr>
          <w:rFonts w:ascii="Cambria" w:eastAsia="Cambria" w:hAnsi="Cambria" w:cs="Times New Roman"/>
          <w:sz w:val="24"/>
          <w:szCs w:val="24"/>
          <w:lang w:val="en-AU" w:eastAsia="en-AU" w:bidi="ar-SA"/>
        </w:rPr>
        <w:t xml:space="preserve"> Restorative justice in copyright royalty disputes is therefore no longer a matter of investigative discretion exercised case by case; it has become a constitutional condition on the use of criminal law itself. Every prior analysis of the Mie </w:t>
      </w:r>
      <w:proofErr w:type="spellStart"/>
      <w:r w:rsidRPr="00F926A9">
        <w:rPr>
          <w:rFonts w:ascii="Cambria" w:eastAsia="Cambria" w:hAnsi="Cambria" w:cs="Times New Roman"/>
          <w:sz w:val="24"/>
          <w:szCs w:val="24"/>
          <w:lang w:val="en-AU" w:eastAsia="en-AU" w:bidi="ar-SA"/>
        </w:rPr>
        <w:t>Gacoan</w:t>
      </w:r>
      <w:proofErr w:type="spellEnd"/>
      <w:r w:rsidRPr="00F926A9">
        <w:rPr>
          <w:rFonts w:ascii="Cambria" w:eastAsia="Cambria" w:hAnsi="Cambria" w:cs="Times New Roman"/>
          <w:sz w:val="24"/>
          <w:szCs w:val="24"/>
          <w:lang w:val="en-AU" w:eastAsia="en-AU" w:bidi="ar-SA"/>
        </w:rPr>
        <w:t xml:space="preserve"> settlement was written under the old framework, in which the outcome looked like leniency granted from above.</w:t>
      </w:r>
    </w:p>
    <w:p w14:paraId="197125C4"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This study therefore addresses two questions. First, why did a royalty obligation that had been legally binding since 2021 generate compliance from a national restaurant chain only after criminal investigation began, and what does that reveal about the effectiveness of enforcement of creators’ economic rights against multi-outlet corporate users? Second, following the Constitutional Court decision, what is the legal standing of restorative justice in royalty disputes, and does the settlement model remain replicable and just once criminal exposure ceases to be available as an opening move?</w:t>
      </w:r>
    </w:p>
    <w:p w14:paraId="13A52AFD" w14:textId="72434313" w:rsidR="00F926A9" w:rsidRPr="00F926A9" w:rsidRDefault="00F926A9" w:rsidP="00F926A9">
      <w:pPr>
        <w:spacing w:after="120"/>
        <w:jc w:val="both"/>
        <w:rPr>
          <w:rFonts w:ascii="Times New Roman" w:eastAsia="Cambria" w:hAnsi="Times New Roman" w:cs="Times New Roman"/>
          <w:sz w:val="24"/>
          <w:szCs w:val="24"/>
          <w:lang w:val="en-AU" w:eastAsia="en-AU" w:bidi="ar-SA"/>
        </w:rPr>
      </w:pPr>
      <w:r w:rsidRPr="00F926A9">
        <w:rPr>
          <w:rFonts w:ascii="Cambria" w:eastAsia="Cambria" w:hAnsi="Cambria" w:cs="Times New Roman"/>
          <w:sz w:val="24"/>
          <w:szCs w:val="24"/>
          <w:lang w:val="en-AU" w:eastAsia="en-AU" w:bidi="ar-SA"/>
        </w:rPr>
        <w:t xml:space="preserve">The objective of this research is to explain the drivers of corporate royalty compliance rather than merely to confirm that the obligation exists; to reconstruct, from the tariff schedule and published collection data, what the settlement figure actually represents; and to reposition restorative justice within the constitutional framework that now governs it. The novelty of the study lies in three moves. It is the first analysis to read the case against the post-December 2025 constitutional regime rather than against the regulation alone. It supplies an empirical layer, reconstructing the settlement against the official tariff and locating it within national </w:t>
      </w:r>
      <w:r w:rsidRPr="00F926A9">
        <w:rPr>
          <w:rFonts w:ascii="Cambria" w:eastAsia="Cambria" w:hAnsi="Cambria" w:cs="Times New Roman"/>
          <w:sz w:val="24"/>
          <w:szCs w:val="24"/>
          <w:lang w:val="en-AU" w:eastAsia="en-AU" w:bidi="ar-SA"/>
        </w:rPr>
        <w:lastRenderedPageBreak/>
        <w:t>collection statistics, where prior work has relied on the round figure of two point two billion as a rhetorical device. And it applies the enforcement pyramid of responsive regulation to a category of user that the literature has ignored, showing that what looks like a success story also contains a structural warning</w:t>
      </w:r>
      <w:r w:rsidRPr="00F926A9">
        <w:rPr>
          <w:rFonts w:ascii="Times New Roman" w:eastAsia="Cambria" w:hAnsi="Times New Roman" w:cs="Times New Roman"/>
          <w:sz w:val="24"/>
          <w:szCs w:val="24"/>
          <w:lang w:val="en-AU" w:eastAsia="en-AU" w:bidi="ar-SA"/>
        </w:rPr>
        <w:t>.</w:t>
      </w:r>
      <w:r w:rsidRPr="00F926A9">
        <w:rPr>
          <w:rFonts w:ascii="Times New Roman" w:eastAsia="Cambria" w:hAnsi="Times New Roman" w:cs="Times New Roman"/>
          <w:sz w:val="24"/>
          <w:szCs w:val="24"/>
          <w:lang w:val="en-ID" w:eastAsia="en-ID" w:bidi="ar-SA"/>
        </w:rPr>
        <w:t xml:space="preserve"> </w:t>
      </w:r>
    </w:p>
    <w:p w14:paraId="1F1F6851" w14:textId="3F6DF73E" w:rsidR="00A90240" w:rsidRPr="00621443" w:rsidRDefault="00000000" w:rsidP="00621443">
      <w:pPr>
        <w:jc w:val="both"/>
        <w:rPr>
          <w:rFonts w:ascii="Cambria" w:hAnsi="Cambria"/>
          <w:sz w:val="24"/>
          <w:szCs w:val="32"/>
          <w:lang w:val="id-ID"/>
        </w:rPr>
      </w:pPr>
      <w:r w:rsidRPr="00621443">
        <w:rPr>
          <w:rFonts w:ascii="Cambria" w:hAnsi="Cambria"/>
          <w:sz w:val="24"/>
          <w:szCs w:val="32"/>
          <w:lang w:val="id-ID"/>
        </w:rPr>
        <w:t>.</w:t>
      </w:r>
    </w:p>
    <w:p w14:paraId="12F1BEC0" w14:textId="77777777" w:rsidR="00A90240" w:rsidRPr="00C626FA" w:rsidRDefault="00000000" w:rsidP="00621443">
      <w:pPr>
        <w:jc w:val="center"/>
        <w:rPr>
          <w:rFonts w:ascii="Cambria" w:hAnsi="Cambria"/>
          <w:b/>
          <w:color w:val="215B57"/>
          <w:sz w:val="28"/>
          <w:szCs w:val="36"/>
        </w:rPr>
      </w:pPr>
      <w:r w:rsidRPr="00C626FA">
        <w:rPr>
          <w:rFonts w:ascii="Cambria" w:hAnsi="Cambria"/>
          <w:b/>
          <w:color w:val="215B57"/>
          <w:sz w:val="28"/>
          <w:szCs w:val="36"/>
        </w:rPr>
        <w:t>Methods</w:t>
      </w:r>
    </w:p>
    <w:p w14:paraId="75EDEDE1"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This research is normative-juridical at its core, treating law as a system of principles, norms, and rules that can be internally analysed,</w:t>
      </w:r>
      <w:r w:rsidRPr="00F926A9">
        <w:rPr>
          <w:rFonts w:ascii="Cambria" w:eastAsia="Cambria" w:hAnsi="Cambria" w:cs="Times New Roman"/>
          <w:sz w:val="24"/>
          <w:szCs w:val="24"/>
          <w:vertAlign w:val="superscript"/>
          <w:lang w:val="en-AU" w:eastAsia="en-AU" w:bidi="ar-SA"/>
        </w:rPr>
        <w:footnoteReference w:id="11"/>
      </w:r>
      <w:r w:rsidRPr="00F926A9">
        <w:rPr>
          <w:rFonts w:ascii="Cambria" w:eastAsia="Cambria" w:hAnsi="Cambria" w:cs="Times New Roman"/>
          <w:sz w:val="24"/>
          <w:szCs w:val="24"/>
          <w:lang w:val="en-AU" w:eastAsia="en-AU" w:bidi="ar-SA"/>
        </w:rPr>
        <w:t xml:space="preserve"> and it is supplemented by an empirical layer of published quantitative data. The design is best described as doctrinal analysis with socio-legal support: the doctrinal component establishes what the law requires, while the empirical component tests whether the requirement is being met and at what scale. This combination is a deliberate response to a recognised weakness of purely normative studies of royalty law, which can describe an obligation exhaustively while remaining silent on whether it operates.</w:t>
      </w:r>
    </w:p>
    <w:p w14:paraId="43CBD8BC"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 xml:space="preserve">Four approaches are used, and each performs a distinct task rather than serving as a label. The </w:t>
      </w:r>
      <w:r w:rsidRPr="00F926A9">
        <w:rPr>
          <w:rFonts w:ascii="Cambria" w:eastAsia="Cambria" w:hAnsi="Cambria" w:cs="Times New Roman"/>
          <w:i/>
          <w:iCs/>
          <w:sz w:val="24"/>
          <w:szCs w:val="24"/>
          <w:lang w:val="en-AU" w:eastAsia="en-AU" w:bidi="ar-SA"/>
        </w:rPr>
        <w:t>statute approach</w:t>
      </w:r>
      <w:r w:rsidRPr="00F926A9">
        <w:rPr>
          <w:rFonts w:ascii="Cambria" w:eastAsia="Cambria" w:hAnsi="Cambria" w:cs="Times New Roman"/>
          <w:sz w:val="24"/>
          <w:szCs w:val="24"/>
          <w:lang w:val="en-AU" w:eastAsia="en-AU" w:bidi="ar-SA"/>
        </w:rPr>
        <w:t xml:space="preserve"> is applied to the hierarchy running from the Copyright Law through Government Regulation 56 of 2021, Minister of Law Regulation 27 of 2025, and the 2016 tariff decree, in order to establish the obligation, the tariff, and the institutional channel for payment. The </w:t>
      </w:r>
      <w:r w:rsidRPr="00F926A9">
        <w:rPr>
          <w:rFonts w:ascii="Cambria" w:eastAsia="Cambria" w:hAnsi="Cambria" w:cs="Times New Roman"/>
          <w:i/>
          <w:iCs/>
          <w:sz w:val="24"/>
          <w:szCs w:val="24"/>
          <w:lang w:val="en-AU" w:eastAsia="en-AU" w:bidi="ar-SA"/>
        </w:rPr>
        <w:t>case approach</w:t>
      </w:r>
      <w:r w:rsidRPr="00F926A9">
        <w:rPr>
          <w:rFonts w:ascii="Cambria" w:eastAsia="Cambria" w:hAnsi="Cambria" w:cs="Times New Roman"/>
          <w:sz w:val="24"/>
          <w:szCs w:val="24"/>
          <w:lang w:val="en-AU" w:eastAsia="en-AU" w:bidi="ar-SA"/>
        </w:rPr>
        <w:t xml:space="preserve"> is applied to two objects: the Mie </w:t>
      </w:r>
      <w:proofErr w:type="spellStart"/>
      <w:r w:rsidRPr="00F926A9">
        <w:rPr>
          <w:rFonts w:ascii="Cambria" w:eastAsia="Cambria" w:hAnsi="Cambria" w:cs="Times New Roman"/>
          <w:sz w:val="24"/>
          <w:szCs w:val="24"/>
          <w:lang w:val="en-AU" w:eastAsia="en-AU" w:bidi="ar-SA"/>
        </w:rPr>
        <w:t>Gacoan</w:t>
      </w:r>
      <w:proofErr w:type="spellEnd"/>
      <w:r w:rsidRPr="00F926A9">
        <w:rPr>
          <w:rFonts w:ascii="Cambria" w:eastAsia="Cambria" w:hAnsi="Cambria" w:cs="Times New Roman"/>
          <w:sz w:val="24"/>
          <w:szCs w:val="24"/>
          <w:lang w:val="en-AU" w:eastAsia="en-AU" w:bidi="ar-SA"/>
        </w:rPr>
        <w:t xml:space="preserve"> enforcement file, reconstructed from official statements and reporting, and Constitutional Court Decision 28/PUU-XXIII/2025, whose </w:t>
      </w:r>
      <w:r w:rsidRPr="00F926A9">
        <w:rPr>
          <w:rFonts w:ascii="Cambria" w:eastAsia="Cambria" w:hAnsi="Cambria" w:cs="Times New Roman"/>
          <w:i/>
          <w:iCs/>
          <w:sz w:val="24"/>
          <w:szCs w:val="24"/>
          <w:lang w:val="en-AU" w:eastAsia="en-AU" w:bidi="ar-SA"/>
        </w:rPr>
        <w:t>ratio decidendi</w:t>
      </w:r>
      <w:r w:rsidRPr="00F926A9">
        <w:rPr>
          <w:rFonts w:ascii="Cambria" w:eastAsia="Cambria" w:hAnsi="Cambria" w:cs="Times New Roman"/>
          <w:sz w:val="24"/>
          <w:szCs w:val="24"/>
          <w:lang w:val="en-AU" w:eastAsia="en-AU" w:bidi="ar-SA"/>
        </w:rPr>
        <w:t xml:space="preserve"> is treated as binding legal material rather than as commentary.</w:t>
      </w:r>
      <w:r w:rsidRPr="00F926A9">
        <w:rPr>
          <w:rFonts w:ascii="Cambria" w:eastAsia="Cambria" w:hAnsi="Cambria" w:cs="Times New Roman"/>
          <w:sz w:val="24"/>
          <w:szCs w:val="24"/>
          <w:vertAlign w:val="superscript"/>
          <w:lang w:val="en-AU" w:eastAsia="en-AU" w:bidi="ar-SA"/>
        </w:rPr>
        <w:footnoteReference w:id="12"/>
      </w:r>
      <w:r w:rsidRPr="00F926A9">
        <w:rPr>
          <w:rFonts w:ascii="Cambria" w:eastAsia="Cambria" w:hAnsi="Cambria" w:cs="Times New Roman"/>
          <w:sz w:val="24"/>
          <w:szCs w:val="24"/>
          <w:lang w:val="en-AU" w:eastAsia="en-AU" w:bidi="ar-SA"/>
        </w:rPr>
        <w:t xml:space="preserve"> The </w:t>
      </w:r>
      <w:r w:rsidRPr="00F926A9">
        <w:rPr>
          <w:rFonts w:ascii="Cambria" w:eastAsia="Cambria" w:hAnsi="Cambria" w:cs="Times New Roman"/>
          <w:i/>
          <w:iCs/>
          <w:sz w:val="24"/>
          <w:szCs w:val="24"/>
          <w:lang w:val="en-AU" w:eastAsia="en-AU" w:bidi="ar-SA"/>
        </w:rPr>
        <w:t>conceptual approach</w:t>
      </w:r>
      <w:r w:rsidRPr="00F926A9">
        <w:rPr>
          <w:rFonts w:ascii="Cambria" w:eastAsia="Cambria" w:hAnsi="Cambria" w:cs="Times New Roman"/>
          <w:sz w:val="24"/>
          <w:szCs w:val="24"/>
          <w:lang w:val="en-AU" w:eastAsia="en-AU" w:bidi="ar-SA"/>
        </w:rPr>
        <w:t xml:space="preserve"> supplies the analytical instruments, namely legal effectiveness, legal protection, and responsive regulation. The </w:t>
      </w:r>
      <w:r w:rsidRPr="00F926A9">
        <w:rPr>
          <w:rFonts w:ascii="Cambria" w:eastAsia="Cambria" w:hAnsi="Cambria" w:cs="Times New Roman"/>
          <w:i/>
          <w:iCs/>
          <w:sz w:val="24"/>
          <w:szCs w:val="24"/>
          <w:lang w:val="en-AU" w:eastAsia="en-AU" w:bidi="ar-SA"/>
        </w:rPr>
        <w:t>analytical approach</w:t>
      </w:r>
      <w:r w:rsidRPr="00F926A9">
        <w:rPr>
          <w:rFonts w:ascii="Cambria" w:eastAsia="Cambria" w:hAnsi="Cambria" w:cs="Times New Roman"/>
          <w:sz w:val="24"/>
          <w:szCs w:val="24"/>
          <w:lang w:val="en-AU" w:eastAsia="en-AU" w:bidi="ar-SA"/>
        </w:rPr>
        <w:t xml:space="preserve"> is used in the reconstruction of the settlement figure, where a legal norm, the per-seat tariff, is used as an arithmetic premise.</w:t>
      </w:r>
    </w:p>
    <w:p w14:paraId="7E4671D8"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Because the core of the study is doctrinal, the concepts of population and sample in their statistical sense are inapposite; legal materials are not drawn randomly from a universe of cases but selected purposively for their relevance to the legal issue.</w:t>
      </w:r>
      <w:r w:rsidRPr="00F926A9">
        <w:rPr>
          <w:rFonts w:ascii="Cambria" w:eastAsia="Cambria" w:hAnsi="Cambria" w:cs="Times New Roman"/>
          <w:sz w:val="24"/>
          <w:szCs w:val="24"/>
          <w:vertAlign w:val="superscript"/>
          <w:lang w:val="en-AU" w:eastAsia="en-AU" w:bidi="ar-SA"/>
        </w:rPr>
        <w:footnoteReference w:id="13"/>
      </w:r>
      <w:r w:rsidRPr="00F926A9">
        <w:rPr>
          <w:rFonts w:ascii="Cambria" w:eastAsia="Cambria" w:hAnsi="Cambria" w:cs="Times New Roman"/>
          <w:sz w:val="24"/>
          <w:szCs w:val="24"/>
          <w:lang w:val="en-AU" w:eastAsia="en-AU" w:bidi="ar-SA"/>
        </w:rPr>
        <w:t xml:space="preserve"> It is nonetheless necessary to state the selection criteria, since a doctrinal corpus that is never specified cannot be audited. Primary legal materials comprise Law 28 of 2014, Government Regulation 56 of 2021, Minister of Law Regulation 27 of 2025, Minister of Law and Human Rights Decree HKI.2.OT.03.01-02 of 2016, Circular Letter HKI-92.KI.01.04 of 2025, and Constitutional Court Decisions 28/PUU-</w:t>
      </w:r>
      <w:r w:rsidRPr="00F926A9">
        <w:rPr>
          <w:rFonts w:ascii="Cambria" w:eastAsia="Cambria" w:hAnsi="Cambria" w:cs="Times New Roman"/>
          <w:sz w:val="24"/>
          <w:szCs w:val="24"/>
          <w:lang w:val="en-AU" w:eastAsia="en-AU" w:bidi="ar-SA"/>
        </w:rPr>
        <w:lastRenderedPageBreak/>
        <w:t>XXIII/2025 and 37/PUU-XXIII/2025. Secondary materials comprise peer-reviewed articles and textbooks on copyright, collective management, legal effectiveness, and restorative justice, selected on the criterion that they address either the royalty regime or the theoretical instruments applied here.</w:t>
      </w:r>
    </w:p>
    <w:p w14:paraId="6F8A6B98"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 xml:space="preserve">For the empirical layer, the unit of analysis is the enforcement event, not the individual outlet or the individual song. Three enforcement events were selected purposively on the basis of four criteria: the user is a corporate entity operating in commercial public space; the dispute concerns public performance rather than reproduction; the outcome is documented in official statements; and the events fall within the operative period of Government Regulation 56 of 2021. The Mie </w:t>
      </w:r>
      <w:proofErr w:type="spellStart"/>
      <w:r w:rsidRPr="00F926A9">
        <w:rPr>
          <w:rFonts w:ascii="Cambria" w:eastAsia="Cambria" w:hAnsi="Cambria" w:cs="Times New Roman"/>
          <w:sz w:val="24"/>
          <w:szCs w:val="24"/>
          <w:lang w:val="en-AU" w:eastAsia="en-AU" w:bidi="ar-SA"/>
        </w:rPr>
        <w:t>Gacoan</w:t>
      </w:r>
      <w:proofErr w:type="spellEnd"/>
      <w:r w:rsidRPr="00F926A9">
        <w:rPr>
          <w:rFonts w:ascii="Cambria" w:eastAsia="Cambria" w:hAnsi="Cambria" w:cs="Times New Roman"/>
          <w:sz w:val="24"/>
          <w:szCs w:val="24"/>
          <w:lang w:val="en-AU" w:eastAsia="en-AU" w:bidi="ar-SA"/>
        </w:rPr>
        <w:t xml:space="preserve"> file is the primary case; the retail dispute involving a convenience store chain and the performer dispute that triggered the constitutional review serve as comparators, the first for scale and the second for the criminal-law question. Quantitative data consist of royalty collection and distribution figures published by the national collective management institution and the Directorate General of Intellectual Property for 2022 through 2025, together with the statutory tariff.</w:t>
      </w:r>
      <w:r w:rsidRPr="00F926A9">
        <w:rPr>
          <w:rFonts w:ascii="Cambria" w:eastAsia="Cambria" w:hAnsi="Cambria" w:cs="Times New Roman"/>
          <w:sz w:val="24"/>
          <w:szCs w:val="24"/>
          <w:vertAlign w:val="superscript"/>
          <w:lang w:val="en-AU" w:eastAsia="en-AU" w:bidi="ar-SA"/>
        </w:rPr>
        <w:footnoteReference w:id="14"/>
      </w:r>
    </w:p>
    <w:p w14:paraId="075C020D" w14:textId="77777777" w:rsidR="00F926A9" w:rsidRPr="00F926A9" w:rsidRDefault="00F926A9" w:rsidP="00F926A9">
      <w:pPr>
        <w:spacing w:after="120"/>
        <w:jc w:val="both"/>
        <w:rPr>
          <w:rFonts w:ascii="Cambria" w:eastAsia="Cambria" w:hAnsi="Cambria" w:cs="Times New Roman"/>
          <w:sz w:val="24"/>
          <w:szCs w:val="24"/>
          <w:lang w:val="en-AU" w:eastAsia="en-AU" w:bidi="ar-SA"/>
        </w:rPr>
      </w:pPr>
      <w:r w:rsidRPr="00F926A9">
        <w:rPr>
          <w:rFonts w:ascii="Cambria" w:eastAsia="Cambria" w:hAnsi="Cambria" w:cs="Times New Roman"/>
          <w:sz w:val="24"/>
          <w:szCs w:val="24"/>
          <w:lang w:val="en-AU" w:eastAsia="en-AU" w:bidi="ar-SA"/>
        </w:rPr>
        <w:t>Data were collected through document study. Analysis proceeds in three steps. First, content analysis and systematic interpretation are applied to the legal materials, with deductive reasoning from the general norm to the concrete case. Second, a descriptive quantitative reconstruction converts the settlement figure into implied chargeable seat-years using the statutory tariff, and expresses the settlement as a proportion of national collections; because the parties did not publish the calculation basis, the reconstruction is presented as a bounded scenario analysis with its assumptions stated on the face of the table rather than as a determination of the agreed sum. Third, triangulation is applied across official regulatory sources, institutional statistics, and reporting of official statements, with divergent figures reported rather than reconciled silently.</w:t>
      </w:r>
    </w:p>
    <w:p w14:paraId="7E1E8BA4" w14:textId="7224C30F" w:rsidR="00621443" w:rsidRDefault="00F926A9" w:rsidP="00F926A9">
      <w:pPr>
        <w:spacing w:after="120"/>
        <w:jc w:val="both"/>
        <w:rPr>
          <w:rFonts w:ascii="Cambria" w:hAnsi="Cambria"/>
          <w:sz w:val="24"/>
          <w:szCs w:val="32"/>
          <w:lang w:val="id-ID"/>
        </w:rPr>
      </w:pPr>
      <w:r w:rsidRPr="00F926A9">
        <w:rPr>
          <w:rFonts w:ascii="Cambria" w:eastAsia="Cambria" w:hAnsi="Cambria" w:cs="Times New Roman"/>
          <w:sz w:val="24"/>
          <w:szCs w:val="24"/>
          <w:lang w:val="en-AU" w:eastAsia="en-AU" w:bidi="ar-SA"/>
        </w:rPr>
        <w:t>Two limitations follow from this design and are stated in advance. No primary interviews were conducted with the parties, the collecting institution, or investigators, so motives are inferred from documented conduct rather than established from testimony. And the settlement figure was negotiated, which means that the reconstruction can show what the tariff implies but cannot show what the parties in fact conceded to one another</w:t>
      </w:r>
      <w:r w:rsidR="00000000" w:rsidRPr="00F926A9">
        <w:rPr>
          <w:rFonts w:ascii="Cambria" w:hAnsi="Cambria"/>
          <w:sz w:val="24"/>
          <w:szCs w:val="32"/>
          <w:lang w:val="id-ID"/>
        </w:rPr>
        <w:t>.</w:t>
      </w:r>
    </w:p>
    <w:p w14:paraId="770F9537" w14:textId="77777777" w:rsidR="00F926A9" w:rsidRDefault="00F926A9" w:rsidP="00F926A9">
      <w:pPr>
        <w:spacing w:after="120"/>
        <w:jc w:val="both"/>
        <w:rPr>
          <w:rFonts w:ascii="Cambria" w:hAnsi="Cambria"/>
          <w:sz w:val="24"/>
          <w:szCs w:val="32"/>
          <w:lang w:val="id-ID"/>
        </w:rPr>
      </w:pPr>
    </w:p>
    <w:p w14:paraId="62DCE72F" w14:textId="77777777" w:rsidR="00F926A9" w:rsidRPr="00F926A9" w:rsidRDefault="00F926A9" w:rsidP="00F926A9">
      <w:pPr>
        <w:spacing w:after="120"/>
        <w:jc w:val="both"/>
        <w:rPr>
          <w:rFonts w:ascii="Cambria" w:eastAsia="Cambria" w:hAnsi="Cambria" w:cs="Times New Roman"/>
          <w:sz w:val="24"/>
          <w:szCs w:val="24"/>
          <w:lang w:val="en-AU" w:eastAsia="en-AU" w:bidi="ar-SA"/>
        </w:rPr>
      </w:pPr>
    </w:p>
    <w:p w14:paraId="47EB861C" w14:textId="74E005E4" w:rsidR="00A90240" w:rsidRPr="00C626FA" w:rsidRDefault="00000000" w:rsidP="00621443">
      <w:pPr>
        <w:jc w:val="center"/>
        <w:rPr>
          <w:rFonts w:ascii="Cambria" w:hAnsi="Cambria"/>
          <w:sz w:val="28"/>
          <w:szCs w:val="36"/>
          <w:lang w:val="id-ID"/>
        </w:rPr>
      </w:pPr>
      <w:r w:rsidRPr="00C626FA">
        <w:rPr>
          <w:rFonts w:ascii="Cambria" w:hAnsi="Cambria"/>
          <w:b/>
          <w:color w:val="215B57"/>
          <w:sz w:val="28"/>
          <w:szCs w:val="36"/>
        </w:rPr>
        <w:lastRenderedPageBreak/>
        <w:t>Results and Discussion</w:t>
      </w:r>
    </w:p>
    <w:p w14:paraId="3184C819" w14:textId="77777777" w:rsidR="00A90240" w:rsidRDefault="00000000">
      <w:pPr>
        <w:spacing w:before="120"/>
        <w:jc w:val="both"/>
        <w:rPr>
          <w:rFonts w:ascii="Cambria" w:eastAsia="EB Garamond" w:hAnsi="Cambria" w:cs="EB Garamond"/>
          <w:color w:val="000000"/>
          <w:sz w:val="24"/>
          <w:szCs w:val="24"/>
        </w:rPr>
      </w:pPr>
      <w:r>
        <w:rPr>
          <w:rFonts w:ascii="EB Garamond" w:eastAsia="EB Garamond" w:hAnsi="EB Garamond" w:cs="EB Garamond"/>
          <w:noProof/>
          <w:color w:val="F2F2F2" w:themeColor="background1" w:themeShade="F2"/>
          <w:sz w:val="24"/>
          <w:szCs w:val="24"/>
        </w:rPr>
        <mc:AlternateContent>
          <mc:Choice Requires="wps">
            <w:drawing>
              <wp:anchor distT="0" distB="0" distL="114300" distR="114300" simplePos="0" relativeHeight="251659264" behindDoc="0" locked="0" layoutInCell="1" allowOverlap="1" wp14:anchorId="22F91E7C" wp14:editId="49607B13">
                <wp:simplePos x="0" y="0"/>
                <wp:positionH relativeFrom="margin">
                  <wp:align>left</wp:align>
                </wp:positionH>
                <wp:positionV relativeFrom="paragraph">
                  <wp:posOffset>83820</wp:posOffset>
                </wp:positionV>
                <wp:extent cx="5400040" cy="492370"/>
                <wp:effectExtent l="0" t="0" r="10160" b="22225"/>
                <wp:wrapNone/>
                <wp:docPr id="1717309949" name="Persegi Panjang 4"/>
                <wp:cNvGraphicFramePr/>
                <a:graphic xmlns:a="http://schemas.openxmlformats.org/drawingml/2006/main">
                  <a:graphicData uri="http://schemas.microsoft.com/office/word/2010/wordprocessingShape">
                    <wps:wsp>
                      <wps:cNvSpPr/>
                      <wps:spPr>
                        <a:xfrm>
                          <a:off x="0" y="0"/>
                          <a:ext cx="5400040" cy="492370"/>
                        </a:xfrm>
                        <a:prstGeom prst="rect">
                          <a:avLst/>
                        </a:prstGeom>
                        <a:solidFill>
                          <a:srgbClr val="215B57"/>
                        </a:solidFill>
                      </wps:spPr>
                      <wps:style>
                        <a:lnRef idx="2">
                          <a:schemeClr val="accent6">
                            <a:shade val="15000"/>
                          </a:schemeClr>
                        </a:lnRef>
                        <a:fillRef idx="1">
                          <a:schemeClr val="accent6"/>
                        </a:fillRef>
                        <a:effectRef idx="0">
                          <a:schemeClr val="accent6"/>
                        </a:effectRef>
                        <a:fontRef idx="minor">
                          <a:schemeClr val="lt1"/>
                        </a:fontRef>
                      </wps:style>
                      <wps:txbx>
                        <w:txbxContent>
                          <w:p w14:paraId="69DCFFC6" w14:textId="0911FCBE" w:rsidR="00A90240" w:rsidRPr="00621443" w:rsidRDefault="00C16486">
                            <w:pPr>
                              <w:rPr>
                                <w:rFonts w:ascii="Cambria" w:hAnsi="Cambria" w:cs="Arial"/>
                                <w:b/>
                                <w:bCs/>
                                <w:sz w:val="24"/>
                              </w:rPr>
                            </w:pPr>
                            <w:r w:rsidRPr="00C16486">
                              <w:rPr>
                                <w:rFonts w:ascii="Cambria" w:hAnsi="Cambria" w:cs="Arial"/>
                                <w:b/>
                                <w:bCs/>
                                <w:sz w:val="24"/>
                              </w:rPr>
                              <w:t>Analytical Framework: Effectiveness, Protection, and the Enforcement Pyramid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2F91E7C" id="Persegi Panjang 4" o:spid="_x0000_s1026" style="position:absolute;left:0;text-align:left;margin-left:0;margin-top:6.6pt;width:425.2pt;height:3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" fillcolor="#215b57" strokecolor="#10190a [489]" strokeweight="1pt">
                <v:textbox>
                  <w:txbxContent>
                    <w:p w14:paraId="69DCFFC6" w14:textId="0911FCBE" w:rsidR="00A90240" w:rsidRPr="00621443" w:rsidRDefault="00C16486">
                      <w:pPr>
                        <w:rPr>
                          <w:rFonts w:ascii="Cambria" w:hAnsi="Cambria" w:cs="Arial"/>
                          <w:b/>
                          <w:bCs/>
                          <w:sz w:val="24"/>
                        </w:rPr>
                      </w:pPr>
                      <w:r w:rsidRPr="00C16486">
                        <w:rPr>
                          <w:rFonts w:ascii="Cambria" w:hAnsi="Cambria" w:cs="Arial"/>
                          <w:b/>
                          <w:bCs/>
                          <w:sz w:val="24"/>
                        </w:rPr>
                        <w:t>Analytical Framework: Effectiveness, Protection, and the Enforcement Pyramid</w:t>
                      </w:r>
                    </w:p>
                  </w:txbxContent>
                </v:textbox>
                <w10:wrap anchorx="margin"/>
              </v:rect>
            </w:pict>
          </mc:Fallback>
        </mc:AlternateContent>
      </w:r>
    </w:p>
    <w:p w14:paraId="1AC0F201" w14:textId="0AD909FA" w:rsidR="00A90240" w:rsidRPr="00C16486" w:rsidRDefault="00A90240" w:rsidP="00C16486">
      <w:pPr>
        <w:spacing w:after="0" w:line="240" w:lineRule="auto"/>
        <w:rPr>
          <w:rFonts w:ascii="Cambria" w:eastAsia="Times New Roman" w:hAnsi="Cambria" w:cs="Times New Roman"/>
          <w:sz w:val="24"/>
          <w:szCs w:val="24"/>
          <w:lang w:eastAsia="zh-CN" w:bidi="ar-SA"/>
        </w:rPr>
      </w:pPr>
    </w:p>
    <w:p w14:paraId="7710CE53" w14:textId="77777777" w:rsidR="00A90240" w:rsidRDefault="00A90240">
      <w:pPr>
        <w:pStyle w:val="ListParagraph"/>
        <w:spacing w:after="0" w:line="240" w:lineRule="auto"/>
        <w:rPr>
          <w:rFonts w:ascii="Cambria" w:eastAsia="Times New Roman" w:hAnsi="Cambria" w:cs="Times New Roman"/>
          <w:b/>
          <w:bCs/>
          <w:sz w:val="24"/>
          <w:szCs w:val="24"/>
          <w:lang w:val="zh-CN" w:eastAsia="zh-CN" w:bidi="ar-SA"/>
        </w:rPr>
      </w:pPr>
    </w:p>
    <w:p w14:paraId="35B4DE9F" w14:textId="77777777" w:rsidR="00C16486" w:rsidRPr="00C16486" w:rsidRDefault="00C16486" w:rsidP="00C16486">
      <w:pPr>
        <w:jc w:val="both"/>
        <w:rPr>
          <w:rFonts w:ascii="Cambria" w:hAnsi="Cambria"/>
          <w:sz w:val="24"/>
          <w:szCs w:val="32"/>
          <w:lang w:val="en-AU" w:eastAsia="zh-CN" w:bidi="ar-SA"/>
        </w:rPr>
      </w:pPr>
      <w:r w:rsidRPr="00C16486">
        <w:rPr>
          <w:rFonts w:ascii="Cambria" w:hAnsi="Cambria"/>
          <w:sz w:val="24"/>
          <w:szCs w:val="32"/>
          <w:lang w:val="en-AU" w:eastAsia="zh-CN" w:bidi="ar-SA"/>
        </w:rPr>
        <w:t>Three instruments structure the analysis, and they are chosen because each answers a question the others cannot. Legal effectiveness in the Indonesian tradition is not a function of the rule alone; it depends on five interacting factors, namely the legal substance, the enforcement apparatus, the supporting facilities, the community subject to the rule, and legal culture.</w:t>
      </w:r>
      <w:r w:rsidRPr="00C16486">
        <w:rPr>
          <w:rFonts w:ascii="Cambria" w:hAnsi="Cambria"/>
          <w:sz w:val="24"/>
          <w:szCs w:val="32"/>
          <w:vertAlign w:val="superscript"/>
          <w:lang w:val="en-AU" w:eastAsia="zh-CN" w:bidi="ar-SA"/>
        </w:rPr>
        <w:footnoteReference w:id="15"/>
      </w:r>
      <w:r w:rsidRPr="00C16486">
        <w:rPr>
          <w:rFonts w:ascii="Cambria" w:hAnsi="Cambria"/>
          <w:sz w:val="24"/>
          <w:szCs w:val="32"/>
          <w:lang w:val="en-AU" w:eastAsia="zh-CN" w:bidi="ar-SA"/>
        </w:rPr>
        <w:t xml:space="preserve"> A study that finds a clear rule and a clear breach has therefore established almost nothing about effectiveness, because the rule is only one of the five. Friedman’s tripartite division into substance, structure, and culture performs a similar function with a different emphasis, and is useful here because the royalty regime is a case in which excellent substance coexists with a thin structure and an unreceptive culture.</w:t>
      </w:r>
      <w:r w:rsidRPr="00C16486">
        <w:rPr>
          <w:rFonts w:ascii="Cambria" w:hAnsi="Cambria"/>
          <w:sz w:val="24"/>
          <w:szCs w:val="32"/>
          <w:vertAlign w:val="superscript"/>
          <w:lang w:val="en-AU" w:eastAsia="zh-CN" w:bidi="ar-SA"/>
        </w:rPr>
        <w:footnoteReference w:id="16"/>
      </w:r>
    </w:p>
    <w:p w14:paraId="76CD4270" w14:textId="77777777" w:rsidR="00C16486" w:rsidRPr="00C16486" w:rsidRDefault="00C16486" w:rsidP="00C16486">
      <w:pPr>
        <w:jc w:val="both"/>
        <w:rPr>
          <w:rFonts w:ascii="Cambria" w:hAnsi="Cambria"/>
          <w:sz w:val="24"/>
          <w:szCs w:val="32"/>
          <w:lang w:val="en-AU" w:eastAsia="zh-CN" w:bidi="ar-SA"/>
        </w:rPr>
      </w:pPr>
      <w:r w:rsidRPr="00C16486">
        <w:rPr>
          <w:rFonts w:ascii="Cambria" w:hAnsi="Cambria"/>
          <w:sz w:val="24"/>
          <w:szCs w:val="32"/>
          <w:lang w:val="en-AU" w:eastAsia="zh-CN" w:bidi="ar-SA"/>
        </w:rPr>
        <w:t xml:space="preserve">Legal protection supplies the second instrument. In </w:t>
      </w:r>
      <w:proofErr w:type="spellStart"/>
      <w:r w:rsidRPr="00C16486">
        <w:rPr>
          <w:rFonts w:ascii="Cambria" w:hAnsi="Cambria"/>
          <w:sz w:val="24"/>
          <w:szCs w:val="32"/>
          <w:lang w:val="en-AU" w:eastAsia="zh-CN" w:bidi="ar-SA"/>
        </w:rPr>
        <w:t>Hadjon’s</w:t>
      </w:r>
      <w:proofErr w:type="spellEnd"/>
      <w:r w:rsidRPr="00C16486">
        <w:rPr>
          <w:rFonts w:ascii="Cambria" w:hAnsi="Cambria"/>
          <w:sz w:val="24"/>
          <w:szCs w:val="32"/>
          <w:lang w:val="en-AU" w:eastAsia="zh-CN" w:bidi="ar-SA"/>
        </w:rPr>
        <w:t xml:space="preserve"> formulation, protection is preventive where it gives the subject an opportunity to object before a decision becomes definitive, and repressive where it responds after harm has occurred.</w:t>
      </w:r>
      <w:r w:rsidRPr="00C16486">
        <w:rPr>
          <w:rFonts w:ascii="Cambria" w:hAnsi="Cambria"/>
          <w:sz w:val="24"/>
          <w:szCs w:val="32"/>
          <w:vertAlign w:val="superscript"/>
          <w:lang w:val="en-AU" w:eastAsia="zh-CN" w:bidi="ar-SA"/>
        </w:rPr>
        <w:footnoteReference w:id="17"/>
      </w:r>
      <w:r w:rsidRPr="00C16486">
        <w:rPr>
          <w:rFonts w:ascii="Cambria" w:hAnsi="Cambria"/>
          <w:sz w:val="24"/>
          <w:szCs w:val="32"/>
          <w:lang w:val="en-AU" w:eastAsia="zh-CN" w:bidi="ar-SA"/>
        </w:rPr>
        <w:t xml:space="preserve"> The distinction matters because the royalty system is designed as preventive protection: licensing before playing, payment before liability, self-assessment before enforcement. What the case shows is a system that functions almost exclusively in repressive mode, which is a symptom of design failure rather than of successful enforcement.</w:t>
      </w:r>
    </w:p>
    <w:p w14:paraId="3B7ACA3C" w14:textId="77777777" w:rsidR="00C16486" w:rsidRPr="00C16486" w:rsidRDefault="00C16486" w:rsidP="00C16486">
      <w:pPr>
        <w:jc w:val="both"/>
        <w:rPr>
          <w:rFonts w:ascii="Cambria" w:hAnsi="Cambria"/>
          <w:sz w:val="24"/>
          <w:szCs w:val="32"/>
          <w:lang w:val="en-AU" w:eastAsia="zh-CN" w:bidi="ar-SA"/>
        </w:rPr>
      </w:pPr>
      <w:r w:rsidRPr="00C16486">
        <w:rPr>
          <w:rFonts w:ascii="Cambria" w:hAnsi="Cambria"/>
          <w:sz w:val="24"/>
          <w:szCs w:val="32"/>
          <w:lang w:val="en-AU" w:eastAsia="zh-CN" w:bidi="ar-SA"/>
        </w:rPr>
        <w:t>The third instrument is responsive regulation. Ayres and Braithwaite argue that compliance is best secured by an enforcement pyramid whose base consists of persuasion and whose apex holds sanctions severe enough that regulated actors prefer not to test them; the severe sanction works precisely by being available and credible, not by being used.</w:t>
      </w:r>
      <w:r w:rsidRPr="00C16486">
        <w:rPr>
          <w:rFonts w:ascii="Cambria" w:hAnsi="Cambria"/>
          <w:sz w:val="24"/>
          <w:szCs w:val="32"/>
          <w:vertAlign w:val="superscript"/>
          <w:lang w:val="en-AU" w:eastAsia="zh-CN" w:bidi="ar-SA"/>
        </w:rPr>
        <w:footnoteReference w:id="18"/>
      </w:r>
      <w:r w:rsidRPr="00C16486">
        <w:rPr>
          <w:rFonts w:ascii="Cambria" w:hAnsi="Cambria"/>
          <w:sz w:val="24"/>
          <w:szCs w:val="32"/>
          <w:lang w:val="en-AU" w:eastAsia="zh-CN" w:bidi="ar-SA"/>
        </w:rPr>
        <w:t xml:space="preserve"> Braithwaite’s account of reintegrative shaming completes the picture, explaining why a sanction that stigmatises without offering a route back to compliance tends to be counterproductive,</w:t>
      </w:r>
      <w:r w:rsidRPr="00C16486">
        <w:rPr>
          <w:rFonts w:ascii="Cambria" w:hAnsi="Cambria"/>
          <w:sz w:val="24"/>
          <w:szCs w:val="32"/>
          <w:vertAlign w:val="superscript"/>
          <w:lang w:val="en-AU" w:eastAsia="zh-CN" w:bidi="ar-SA"/>
        </w:rPr>
        <w:footnoteReference w:id="19"/>
      </w:r>
      <w:r w:rsidRPr="00C16486">
        <w:rPr>
          <w:rFonts w:ascii="Cambria" w:hAnsi="Cambria"/>
          <w:sz w:val="24"/>
          <w:szCs w:val="32"/>
          <w:lang w:val="en-AU" w:eastAsia="zh-CN" w:bidi="ar-SA"/>
        </w:rPr>
        <w:t xml:space="preserve"> and Zehr’s formulation of restorative justice supplies the corresponding normative content, namely that a wrong creates obligations to repair rather than merely deserts to be imposed.</w:t>
      </w:r>
      <w:r w:rsidRPr="00C16486">
        <w:rPr>
          <w:rFonts w:ascii="Cambria" w:hAnsi="Cambria"/>
          <w:sz w:val="24"/>
          <w:szCs w:val="32"/>
          <w:vertAlign w:val="superscript"/>
          <w:lang w:val="en-AU" w:eastAsia="zh-CN" w:bidi="ar-SA"/>
        </w:rPr>
        <w:footnoteReference w:id="20"/>
      </w:r>
      <w:r w:rsidRPr="00C16486">
        <w:rPr>
          <w:rFonts w:ascii="Cambria" w:hAnsi="Cambria"/>
          <w:sz w:val="24"/>
          <w:szCs w:val="32"/>
          <w:lang w:val="en-AU" w:eastAsia="zh-CN" w:bidi="ar-SA"/>
        </w:rPr>
        <w:t xml:space="preserve"> Read together, these instruments generate a testable proposition: if the royalty </w:t>
      </w:r>
      <w:r w:rsidRPr="00C16486">
        <w:rPr>
          <w:rFonts w:ascii="Cambria" w:hAnsi="Cambria"/>
          <w:sz w:val="24"/>
          <w:szCs w:val="32"/>
          <w:lang w:val="en-AU" w:eastAsia="zh-CN" w:bidi="ar-SA"/>
        </w:rPr>
        <w:lastRenderedPageBreak/>
        <w:t>regime possesses good substance but no credible apex, compliance will appear only where an apex is improvised, and it will not generalise.</w:t>
      </w:r>
    </w:p>
    <w:p w14:paraId="70D6AE2F" w14:textId="77777777" w:rsidR="00C16486" w:rsidRPr="00C16486" w:rsidRDefault="00C16486" w:rsidP="00C16486">
      <w:pPr>
        <w:spacing w:after="12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 xml:space="preserve">The chronology matters more than the outcome, so it is set out in full before it is interpreted. Two corrections to the existing account are necessary at the outset. The settlement covered sixty-five outlets operated nationally by PT Mitra Bali </w:t>
      </w:r>
      <w:proofErr w:type="spellStart"/>
      <w:r w:rsidRPr="00C16486">
        <w:rPr>
          <w:rFonts w:ascii="Cambria" w:eastAsia="Cambria" w:hAnsi="Cambria" w:cs="Times New Roman"/>
          <w:sz w:val="24"/>
          <w:szCs w:val="24"/>
          <w:lang w:val="en-AU" w:eastAsia="en-AU" w:bidi="ar-SA"/>
        </w:rPr>
        <w:t>Sukses</w:t>
      </w:r>
      <w:proofErr w:type="spellEnd"/>
      <w:r w:rsidRPr="00C16486">
        <w:rPr>
          <w:rFonts w:ascii="Cambria" w:eastAsia="Cambria" w:hAnsi="Cambria" w:cs="Times New Roman"/>
          <w:sz w:val="24"/>
          <w:szCs w:val="24"/>
          <w:lang w:val="en-AU" w:eastAsia="en-AU" w:bidi="ar-SA"/>
        </w:rPr>
        <w:t>, not the several hundred that has circulated in secondary literature,</w:t>
      </w:r>
      <w:r w:rsidRPr="00C16486">
        <w:rPr>
          <w:rFonts w:ascii="Cambria" w:eastAsia="Cambria" w:hAnsi="Cambria" w:cs="Times New Roman"/>
          <w:sz w:val="24"/>
          <w:szCs w:val="24"/>
          <w:vertAlign w:val="superscript"/>
          <w:lang w:val="en-AU" w:eastAsia="en-AU" w:bidi="ar-SA"/>
        </w:rPr>
        <w:footnoteReference w:id="21"/>
      </w:r>
      <w:r w:rsidRPr="00C16486">
        <w:rPr>
          <w:rFonts w:ascii="Cambria" w:eastAsia="Cambria" w:hAnsi="Cambria" w:cs="Times New Roman"/>
          <w:sz w:val="24"/>
          <w:szCs w:val="24"/>
          <w:lang w:val="en-AU" w:eastAsia="en-AU" w:bidi="ar-SA"/>
        </w:rPr>
        <w:t xml:space="preserve"> and the sum was IDR 2,264,502,000 rather than a round two point two billion.</w:t>
      </w:r>
      <w:r w:rsidRPr="00C16486">
        <w:rPr>
          <w:rFonts w:ascii="Cambria" w:eastAsia="Cambria" w:hAnsi="Cambria" w:cs="Times New Roman"/>
          <w:sz w:val="24"/>
          <w:szCs w:val="24"/>
          <w:vertAlign w:val="superscript"/>
          <w:lang w:val="en-AU" w:eastAsia="en-AU" w:bidi="ar-SA"/>
        </w:rPr>
        <w:footnoteReference w:id="22"/>
      </w:r>
      <w:r w:rsidRPr="00C16486">
        <w:rPr>
          <w:rFonts w:ascii="Cambria" w:eastAsia="Cambria" w:hAnsi="Cambria" w:cs="Times New Roman"/>
          <w:sz w:val="24"/>
          <w:szCs w:val="24"/>
          <w:lang w:val="en-AU" w:eastAsia="en-AU" w:bidi="ar-SA"/>
        </w:rPr>
        <w:t xml:space="preserve"> Both corrections matter for the reconstruction that follows in the next subsection, because an error in the denominator propagates into every per-outlet inference.</w:t>
      </w:r>
    </w:p>
    <w:p w14:paraId="76E54099" w14:textId="77777777" w:rsidR="00C16486" w:rsidRPr="00C16486" w:rsidRDefault="00C16486" w:rsidP="00C16486">
      <w:pPr>
        <w:spacing w:before="200" w:after="80"/>
        <w:jc w:val="center"/>
        <w:rPr>
          <w:rFonts w:ascii="Cambria" w:eastAsia="Cambria" w:hAnsi="Cambria" w:cs="Times New Roman"/>
          <w:sz w:val="24"/>
          <w:szCs w:val="24"/>
          <w:lang w:val="en-AU" w:eastAsia="en-AU" w:bidi="ar-SA"/>
        </w:rPr>
      </w:pPr>
      <w:r w:rsidRPr="00C16486">
        <w:rPr>
          <w:rFonts w:ascii="Cambria" w:eastAsia="Cambria" w:hAnsi="Cambria" w:cs="Times New Roman"/>
          <w:b/>
          <w:bCs/>
          <w:sz w:val="24"/>
          <w:szCs w:val="24"/>
          <w:lang w:val="en-AU" w:eastAsia="en-AU" w:bidi="ar-SA"/>
        </w:rPr>
        <w:t>Table 1.</w:t>
      </w:r>
      <w:r w:rsidRPr="00C16486">
        <w:rPr>
          <w:rFonts w:ascii="Cambria" w:eastAsia="Cambria" w:hAnsi="Cambria" w:cs="Times New Roman"/>
          <w:sz w:val="24"/>
          <w:szCs w:val="24"/>
          <w:lang w:val="en-AU" w:eastAsia="en-AU" w:bidi="ar-SA"/>
        </w:rPr>
        <w:t xml:space="preserve"> Chronology of the SELMI–PT Mitra Bali </w:t>
      </w:r>
      <w:proofErr w:type="spellStart"/>
      <w:r w:rsidRPr="00C16486">
        <w:rPr>
          <w:rFonts w:ascii="Cambria" w:eastAsia="Cambria" w:hAnsi="Cambria" w:cs="Times New Roman"/>
          <w:sz w:val="24"/>
          <w:szCs w:val="24"/>
          <w:lang w:val="en-AU" w:eastAsia="en-AU" w:bidi="ar-SA"/>
        </w:rPr>
        <w:t>Sukses</w:t>
      </w:r>
      <w:proofErr w:type="spellEnd"/>
      <w:r w:rsidRPr="00C16486">
        <w:rPr>
          <w:rFonts w:ascii="Cambria" w:eastAsia="Cambria" w:hAnsi="Cambria" w:cs="Times New Roman"/>
          <w:sz w:val="24"/>
          <w:szCs w:val="24"/>
          <w:lang w:val="en-AU" w:eastAsia="en-AU" w:bidi="ar-SA"/>
        </w:rPr>
        <w:t xml:space="preserve"> Dispute</w:t>
      </w:r>
    </w:p>
    <w:tbl>
      <w:tblPr>
        <w:tblW w:w="9100" w:type="dxa"/>
        <w:tblBorders>
          <w:top w:val="single" w:sz="6" w:space="0" w:color="000000"/>
          <w:bottom w:val="single" w:sz="6" w:space="0" w:color="000000"/>
          <w:insideH w:val="single" w:sz="6" w:space="0" w:color="000000"/>
        </w:tblBorders>
        <w:tblCellMar>
          <w:left w:w="10" w:type="dxa"/>
          <w:right w:w="10" w:type="dxa"/>
        </w:tblCellMar>
        <w:tblLook w:val="04A0" w:firstRow="1" w:lastRow="0" w:firstColumn="1" w:lastColumn="0" w:noHBand="0" w:noVBand="1"/>
      </w:tblPr>
      <w:tblGrid>
        <w:gridCol w:w="1900"/>
        <w:gridCol w:w="3000"/>
        <w:gridCol w:w="4200"/>
      </w:tblGrid>
      <w:tr w:rsidR="00C16486" w:rsidRPr="00C16486" w14:paraId="1C59A2A4" w14:textId="77777777">
        <w:trPr>
          <w:tblHeader/>
        </w:trPr>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53EC33C7"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b/>
                <w:bCs/>
                <w:sz w:val="24"/>
                <w:szCs w:val="24"/>
                <w:lang w:val="en-AU" w:eastAsia="en-AU" w:bidi="ar-SA"/>
              </w:rPr>
              <w:t>Period</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278B3F6C"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b/>
                <w:bCs/>
                <w:sz w:val="24"/>
                <w:szCs w:val="24"/>
                <w:lang w:val="en-AU" w:eastAsia="en-AU" w:bidi="ar-SA"/>
              </w:rPr>
              <w:t>Event</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240CDBD1"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b/>
                <w:bCs/>
                <w:sz w:val="24"/>
                <w:szCs w:val="24"/>
                <w:lang w:val="en-AU" w:eastAsia="en-AU" w:bidi="ar-SA"/>
              </w:rPr>
              <w:t>Legal significance</w:t>
            </w:r>
          </w:p>
        </w:tc>
      </w:tr>
      <w:tr w:rsidR="00C16486" w:rsidRPr="00C16486" w14:paraId="23EBBFE6"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35C12C85"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From 2022</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4ED5B3F8"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Songs played across outlets without a licence; collection efforts and socialisation initiated by the collective management organisation</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77662022"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Accrual of royalty debt; commencement of non-litigation stage</w:t>
            </w:r>
          </w:p>
        </w:tc>
      </w:tr>
      <w:tr w:rsidR="00C16486" w:rsidRPr="00C16486" w14:paraId="00A5DEFF"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262DA4A9"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2022 – mid-2024</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4012B386"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Persuasive communication and negotiation produce no payment</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287DE423"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Failure of the base of the enforcement pyramid</w:t>
            </w:r>
          </w:p>
        </w:tc>
      </w:tr>
      <w:tr w:rsidR="00C16486" w:rsidRPr="00C16486" w14:paraId="64B9F6EC"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76688CAA"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Late 2024</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23E94029"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Formal demand letters issued</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464F2136"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Final pre-litigation step</w:t>
            </w:r>
          </w:p>
        </w:tc>
      </w:tr>
      <w:tr w:rsidR="00C16486" w:rsidRPr="00C16486" w14:paraId="19301FEB"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4D42A190"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26 August 2024</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103CE563"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Complaint lodged with the Bali Regional Police</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0B38B2CD"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Activation of the complaint-offence mechanism</w:t>
            </w:r>
          </w:p>
        </w:tc>
      </w:tr>
      <w:tr w:rsidR="00C16486" w:rsidRPr="00C16486" w14:paraId="7ADAE328"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66452BBF"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20 January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06AC3321"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Police report registered; investigation opened</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17322C51"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Escalation to the apex of the pyramid</w:t>
            </w:r>
          </w:p>
        </w:tc>
      </w:tr>
      <w:tr w:rsidR="00C16486" w:rsidRPr="00C16486" w14:paraId="7CD2673F"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3A497D87"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Early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30617198"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Company director named a suspect; playback devices seized at sampled outlets</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254FADFC"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Personalisation of corporate exposure</w:t>
            </w:r>
          </w:p>
        </w:tc>
      </w:tr>
      <w:tr w:rsidR="00C16486" w:rsidRPr="00C16486" w14:paraId="40BEDA23"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2ECFDFC3"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lastRenderedPageBreak/>
              <w:t>7 August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77C809B0"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Minister of Law Regulation 27 of 2025 enacted</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50289A93"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Reform of the royalty governance framework</w:t>
            </w:r>
          </w:p>
        </w:tc>
      </w:tr>
      <w:tr w:rsidR="00C16486" w:rsidRPr="00C16486" w14:paraId="7BACFC22"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74C3374B"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8 August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002D3C80"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Settlement agreement signed; IDR 2,264,502,000 payable for use through December 2025</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62769E8A"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Restoration of the economic right</w:t>
            </w:r>
          </w:p>
        </w:tc>
      </w:tr>
      <w:tr w:rsidR="00C16486" w:rsidRPr="00C16486" w14:paraId="0C2357B3"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36519113"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Late August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72374EF4"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Case closed by the Bali Regional Police through restorative justice</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4EDCEAAA"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Termination of criminal exposure</w:t>
            </w:r>
          </w:p>
        </w:tc>
      </w:tr>
      <w:tr w:rsidR="00C16486" w:rsidRPr="00C16486" w14:paraId="51D54DF0"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42E81CA2"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17 December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5D9F4BF1"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Constitutional Court Decision 28/PUU-XXIII/2025 pronounced</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43313544"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Restorative justice becomes a constitutional condition</w:t>
            </w:r>
          </w:p>
        </w:tc>
      </w:tr>
      <w:tr w:rsidR="00C16486" w:rsidRPr="00C16486" w14:paraId="53D9B3EE" w14:textId="77777777">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7F1BE107" w14:textId="77777777" w:rsidR="00C16486" w:rsidRPr="00C16486" w:rsidRDefault="00C16486" w:rsidP="00C16486">
            <w:pPr>
              <w:spacing w:after="0"/>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29 December 2025</w:t>
            </w:r>
          </w:p>
        </w:tc>
        <w:tc>
          <w:tcPr>
            <w:tcW w:w="3000" w:type="dxa"/>
            <w:tcBorders>
              <w:top w:val="single" w:sz="6" w:space="0" w:color="000000"/>
              <w:left w:val="nil"/>
              <w:bottom w:val="single" w:sz="6" w:space="0" w:color="000000"/>
              <w:right w:val="nil"/>
            </w:tcBorders>
            <w:tcMar>
              <w:top w:w="60" w:type="dxa"/>
              <w:left w:w="90" w:type="dxa"/>
              <w:bottom w:w="60" w:type="dxa"/>
              <w:right w:w="90" w:type="dxa"/>
            </w:tcMar>
            <w:hideMark/>
          </w:tcPr>
          <w:p w14:paraId="6B94B882"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Circular Letter of the Director General of Intellectual Property issued</w:t>
            </w:r>
          </w:p>
        </w:tc>
        <w:tc>
          <w:tcPr>
            <w:tcW w:w="4200" w:type="dxa"/>
            <w:tcBorders>
              <w:top w:val="single" w:sz="6" w:space="0" w:color="000000"/>
              <w:left w:val="nil"/>
              <w:bottom w:val="single" w:sz="6" w:space="0" w:color="000000"/>
              <w:right w:val="nil"/>
            </w:tcBorders>
            <w:tcMar>
              <w:top w:w="60" w:type="dxa"/>
              <w:left w:w="90" w:type="dxa"/>
              <w:bottom w:w="60" w:type="dxa"/>
              <w:right w:w="90" w:type="dxa"/>
            </w:tcMar>
            <w:hideMark/>
          </w:tcPr>
          <w:p w14:paraId="437753E1" w14:textId="77777777" w:rsidR="00C16486" w:rsidRPr="00C16486" w:rsidRDefault="00C16486" w:rsidP="00C16486">
            <w:pPr>
              <w:spacing w:after="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Systematisation of enforcement against commercial users</w:t>
            </w:r>
          </w:p>
        </w:tc>
      </w:tr>
    </w:tbl>
    <w:p w14:paraId="61D89F74" w14:textId="77777777" w:rsidR="00C16486" w:rsidRPr="00C16486" w:rsidRDefault="00C16486" w:rsidP="00C16486">
      <w:pPr>
        <w:spacing w:before="80"/>
        <w:jc w:val="both"/>
        <w:rPr>
          <w:rFonts w:ascii="Cambria" w:eastAsia="Cambria" w:hAnsi="Cambria" w:cs="Times New Roman"/>
          <w:sz w:val="24"/>
          <w:szCs w:val="24"/>
          <w:lang w:val="en-AU" w:eastAsia="en-AU" w:bidi="ar-SA"/>
        </w:rPr>
      </w:pPr>
      <w:r w:rsidRPr="00C16486">
        <w:rPr>
          <w:rFonts w:ascii="Cambria" w:eastAsia="Cambria" w:hAnsi="Cambria" w:cs="Times New Roman"/>
          <w:i/>
          <w:iCs/>
          <w:sz w:val="24"/>
          <w:szCs w:val="24"/>
          <w:lang w:val="en-AU" w:eastAsia="en-AU" w:bidi="ar-SA"/>
        </w:rPr>
        <w:t>Source: Processed from official statements, regulatory instruments, and reporting, 2026.</w:t>
      </w:r>
    </w:p>
    <w:p w14:paraId="4E6A17DB" w14:textId="77777777" w:rsidR="00C16486" w:rsidRPr="00C16486" w:rsidRDefault="00C16486" w:rsidP="00C16486">
      <w:pPr>
        <w:spacing w:after="120"/>
        <w:jc w:val="both"/>
        <w:rPr>
          <w:rFonts w:ascii="Cambria" w:eastAsia="Cambria" w:hAnsi="Cambria" w:cs="Times New Roman"/>
          <w:sz w:val="24"/>
          <w:szCs w:val="24"/>
          <w:lang w:val="en-AU" w:eastAsia="en-AU" w:bidi="ar-SA"/>
        </w:rPr>
      </w:pPr>
      <w:r w:rsidRPr="00C16486">
        <w:rPr>
          <w:rFonts w:ascii="Cambria" w:eastAsia="Cambria" w:hAnsi="Cambria" w:cs="Times New Roman"/>
          <w:sz w:val="24"/>
          <w:szCs w:val="24"/>
          <w:lang w:val="en-AU" w:eastAsia="en-AU" w:bidi="ar-SA"/>
        </w:rPr>
        <w:t>Read against the pyramid, the sequence is almost diagrammatic. The base was worked for close to three years and yielded nothing. The middle of the pyramid, which in a well-designed regime would consist of administrative sanctions such as licence conditions or business-permit consequences, was simply absent, because Indonesian copyright law provides no administrative rung between a demand letter and a police report. The complainant therefore had two options: give up, or jump to the apex. It jumped.</w:t>
      </w:r>
      <w:r w:rsidRPr="00C16486">
        <w:rPr>
          <w:rFonts w:ascii="Cambria" w:eastAsia="Cambria" w:hAnsi="Cambria" w:cs="Times New Roman"/>
          <w:sz w:val="24"/>
          <w:szCs w:val="24"/>
          <w:vertAlign w:val="superscript"/>
          <w:lang w:val="en-AU" w:eastAsia="en-AU" w:bidi="ar-SA"/>
        </w:rPr>
        <w:footnoteReference w:id="23"/>
      </w:r>
    </w:p>
    <w:p w14:paraId="572209EB" w14:textId="77777777" w:rsidR="00C16486" w:rsidRPr="00C16486" w:rsidRDefault="00C16486" w:rsidP="00C16486">
      <w:pPr>
        <w:jc w:val="both"/>
        <w:rPr>
          <w:rFonts w:ascii="Times New Roman" w:eastAsia="Cambria" w:hAnsi="Times New Roman" w:cs="Times New Roman"/>
          <w:sz w:val="24"/>
          <w:szCs w:val="24"/>
          <w:lang w:val="en-AU" w:eastAsia="en-AU" w:bidi="ar-SA"/>
        </w:rPr>
      </w:pPr>
      <w:r w:rsidRPr="00C16486">
        <w:rPr>
          <w:rFonts w:ascii="Cambria" w:eastAsia="Cambria" w:hAnsi="Cambria" w:cs="Times New Roman"/>
          <w:sz w:val="24"/>
          <w:szCs w:val="24"/>
          <w:lang w:val="en-AU" w:eastAsia="en-AU" w:bidi="ar-SA"/>
        </w:rPr>
        <w:t>One detail in the timeline deserves emphasis because it is easy to read as coincidence. The implementing regulation that reformed royalty governance was enacted on 7 August 2025, and the settlement was signed on 8 August 2025 in the presence of the Minister of Law.</w:t>
      </w:r>
      <w:r w:rsidRPr="00C16486">
        <w:rPr>
          <w:rFonts w:ascii="Cambria" w:eastAsia="Cambria" w:hAnsi="Cambria" w:cs="Times New Roman"/>
          <w:sz w:val="24"/>
          <w:szCs w:val="24"/>
          <w:vertAlign w:val="superscript"/>
          <w:lang w:val="en-AU" w:eastAsia="en-AU" w:bidi="ar-SA"/>
        </w:rPr>
        <w:footnoteReference w:id="24"/>
      </w:r>
      <w:r w:rsidRPr="00C16486">
        <w:rPr>
          <w:rFonts w:ascii="Cambria" w:eastAsia="Cambria" w:hAnsi="Cambria" w:cs="Times New Roman"/>
          <w:sz w:val="24"/>
          <w:szCs w:val="24"/>
          <w:lang w:val="en-AU" w:eastAsia="en-AU" w:bidi="ar-SA"/>
        </w:rPr>
        <w:t xml:space="preserve"> The settlement was thus not merely a private accommodation between a rights organisation and a debtor; it functioned as the first public demonstration of a regulatory framework enacted the previous day. That observation does not impugn the settlement, but it does explain why the outcome should be read as an instrument of policy signalling rather than as evidence that the system now works.</w:t>
      </w:r>
    </w:p>
    <w:p w14:paraId="5AE29C9A" w14:textId="58B28CB0" w:rsidR="00A90240" w:rsidRPr="00C16486" w:rsidRDefault="00A90240" w:rsidP="00621443">
      <w:pPr>
        <w:jc w:val="both"/>
        <w:rPr>
          <w:rFonts w:ascii="Cambria" w:hAnsi="Cambria"/>
          <w:sz w:val="24"/>
          <w:szCs w:val="32"/>
          <w:lang w:val="en-AU" w:eastAsia="zh-CN" w:bidi="ar-SA"/>
        </w:rPr>
      </w:pPr>
    </w:p>
    <w:p w14:paraId="429EAE17" w14:textId="77777777" w:rsidR="00A90240" w:rsidRDefault="00000000">
      <w:pPr>
        <w:spacing w:before="120"/>
        <w:jc w:val="both"/>
        <w:rPr>
          <w:rFonts w:ascii="Cambria" w:eastAsia="EB Garamond" w:hAnsi="Cambria" w:cs="EB Garamond"/>
          <w:color w:val="000000"/>
          <w:sz w:val="24"/>
          <w:szCs w:val="24"/>
        </w:rPr>
      </w:pPr>
      <w:r>
        <w:rPr>
          <w:rFonts w:ascii="EB Garamond" w:eastAsia="EB Garamond" w:hAnsi="EB Garamond" w:cs="EB Garamond"/>
          <w:noProof/>
          <w:color w:val="F2F2F2" w:themeColor="background1" w:themeShade="F2"/>
          <w:sz w:val="24"/>
          <w:szCs w:val="24"/>
        </w:rPr>
        <mc:AlternateContent>
          <mc:Choice Requires="wps">
            <w:drawing>
              <wp:anchor distT="0" distB="0" distL="114300" distR="114300" simplePos="0" relativeHeight="251661312" behindDoc="0" locked="0" layoutInCell="1" allowOverlap="1" wp14:anchorId="5F56A08B" wp14:editId="5CA93030">
                <wp:simplePos x="0" y="0"/>
                <wp:positionH relativeFrom="margin">
                  <wp:posOffset>3077</wp:posOffset>
                </wp:positionH>
                <wp:positionV relativeFrom="paragraph">
                  <wp:posOffset>92368</wp:posOffset>
                </wp:positionV>
                <wp:extent cx="5400040" cy="513471"/>
                <wp:effectExtent l="0" t="0" r="10160" b="20320"/>
                <wp:wrapNone/>
                <wp:docPr id="1925700209" name="Persegi Panjang 4"/>
                <wp:cNvGraphicFramePr/>
                <a:graphic xmlns:a="http://schemas.openxmlformats.org/drawingml/2006/main">
                  <a:graphicData uri="http://schemas.microsoft.com/office/word/2010/wordprocessingShape">
                    <wps:wsp>
                      <wps:cNvSpPr/>
                      <wps:spPr>
                        <a:xfrm>
                          <a:off x="0" y="0"/>
                          <a:ext cx="5400040" cy="513471"/>
                        </a:xfrm>
                        <a:prstGeom prst="rect">
                          <a:avLst/>
                        </a:prstGeom>
                        <a:solidFill>
                          <a:srgbClr val="215B57"/>
                        </a:solidFill>
                      </wps:spPr>
                      <wps:style>
                        <a:lnRef idx="2">
                          <a:schemeClr val="accent6">
                            <a:shade val="15000"/>
                          </a:schemeClr>
                        </a:lnRef>
                        <a:fillRef idx="1">
                          <a:schemeClr val="accent6"/>
                        </a:fillRef>
                        <a:effectRef idx="0">
                          <a:schemeClr val="accent6"/>
                        </a:effectRef>
                        <a:fontRef idx="minor">
                          <a:schemeClr val="lt1"/>
                        </a:fontRef>
                      </wps:style>
                      <wps:txbx>
                        <w:txbxContent>
                          <w:p w14:paraId="53BCC13C" w14:textId="6D7BCB70" w:rsidR="00A90240" w:rsidRPr="00C16486" w:rsidRDefault="00C16486">
                            <w:pPr>
                              <w:rPr>
                                <w:rFonts w:ascii="Cambria" w:hAnsi="Cambria"/>
                                <w:b/>
                                <w:bCs/>
                                <w:sz w:val="24"/>
                                <w:szCs w:val="24"/>
                              </w:rPr>
                            </w:pPr>
                            <w:r w:rsidRPr="00C16486">
                              <w:rPr>
                                <w:rFonts w:ascii="Cambria" w:hAnsi="Cambria"/>
                                <w:b/>
                                <w:bCs/>
                                <w:sz w:val="24"/>
                                <w:szCs w:val="24"/>
                                <w:lang w:val="zh-CN"/>
                              </w:rPr>
                              <w:t>The Normative Basis and Its Recurring Misreadings</w:t>
                            </w:r>
                            <w:r>
                              <w:rPr>
                                <w:rFonts w:ascii="Cambria" w:hAnsi="Cambria"/>
                                <w:b/>
                                <w:bCs/>
                                <w:sz w:val="24"/>
                                <w:szCs w:val="24"/>
                              </w:rPr>
                              <w:t xml:space="preserve"> and </w:t>
                            </w:r>
                            <w:r w:rsidRPr="00C16486">
                              <w:rPr>
                                <w:rFonts w:ascii="Cambria" w:hAnsi="Cambria"/>
                                <w:b/>
                                <w:bCs/>
                                <w:sz w:val="24"/>
                                <w:szCs w:val="24"/>
                              </w:rPr>
                              <w:t>Reconstructing the Settlement Against the Tariff</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5F56A08B" id="_x0000_s1027" style="position:absolute;left:0;text-align:left;margin-left:.25pt;margin-top:7.25pt;width:425.2pt;height:4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" fillcolor="#215b57" strokecolor="#10190a [489]" strokeweight="1pt">
                <v:textbox>
                  <w:txbxContent>
                    <w:p w14:paraId="53BCC13C" w14:textId="6D7BCB70" w:rsidR="00A90240" w:rsidRPr="00C16486" w:rsidRDefault="00C16486">
                      <w:pPr>
                        <w:rPr>
                          <w:rFonts w:ascii="Cambria" w:hAnsi="Cambria"/>
                          <w:b/>
                          <w:bCs/>
                          <w:sz w:val="24"/>
                          <w:szCs w:val="24"/>
                        </w:rPr>
                      </w:pPr>
                      <w:r w:rsidRPr="00C16486">
                        <w:rPr>
                          <w:rFonts w:ascii="Cambria" w:hAnsi="Cambria"/>
                          <w:b/>
                          <w:bCs/>
                          <w:sz w:val="24"/>
                          <w:szCs w:val="24"/>
                          <w:lang w:val="zh-CN"/>
                        </w:rPr>
                        <w:t>The Normative Basis and Its Recurring Misreadings</w:t>
                      </w:r>
                      <w:r>
                        <w:rPr>
                          <w:rFonts w:ascii="Cambria" w:hAnsi="Cambria"/>
                          <w:b/>
                          <w:bCs/>
                          <w:sz w:val="24"/>
                          <w:szCs w:val="24"/>
                        </w:rPr>
                        <w:t xml:space="preserve"> and </w:t>
                      </w:r>
                      <w:r w:rsidRPr="00C16486">
                        <w:rPr>
                          <w:rFonts w:ascii="Cambria" w:hAnsi="Cambria"/>
                          <w:b/>
                          <w:bCs/>
                          <w:sz w:val="24"/>
                          <w:szCs w:val="24"/>
                        </w:rPr>
                        <w:t>Reconstructing the Settlement Against the Tariff</w:t>
                      </w:r>
                    </w:p>
                  </w:txbxContent>
                </v:textbox>
                <w10:wrap anchorx="margin"/>
              </v:rect>
            </w:pict>
          </mc:Fallback>
        </mc:AlternateContent>
      </w:r>
    </w:p>
    <w:p w14:paraId="2265C910" w14:textId="77777777" w:rsidR="00A90240" w:rsidRPr="00C16486" w:rsidRDefault="00A90240" w:rsidP="00C16486">
      <w:pPr>
        <w:jc w:val="both"/>
        <w:rPr>
          <w:rFonts w:ascii="Cambria" w:eastAsia="Times New Roman" w:hAnsi="Cambria" w:cs="Times New Roman"/>
          <w:sz w:val="24"/>
          <w:szCs w:val="24"/>
          <w:lang w:eastAsia="zh-CN" w:bidi="ar-SA"/>
        </w:rPr>
      </w:pPr>
    </w:p>
    <w:p w14:paraId="43C772FD" w14:textId="77777777" w:rsidR="006E68E3" w:rsidRPr="006E68E3" w:rsidRDefault="006E68E3" w:rsidP="006E68E3">
      <w:pPr>
        <w:spacing w:before="240"/>
        <w:jc w:val="both"/>
        <w:rPr>
          <w:rFonts w:ascii="Cambria" w:hAnsi="Cambria"/>
          <w:sz w:val="24"/>
          <w:szCs w:val="32"/>
          <w:lang w:val="en-AU"/>
        </w:rPr>
      </w:pPr>
      <w:r w:rsidRPr="006E68E3">
        <w:rPr>
          <w:rFonts w:ascii="Cambria" w:hAnsi="Cambria"/>
          <w:sz w:val="24"/>
          <w:szCs w:val="32"/>
          <w:lang w:val="en-AU"/>
        </w:rPr>
        <w:t>The obligation itself is not genuinely contestable, and the analysis need not dwell on establishing it. Article 9(1) of the Copyright Law reserves to the creator the exclusive economic right to perform and communicate a work; Article 3(1) and (2) of Government Regulation 56 of 2021 require any person making commercial use of songs in a listed public service to pay royalties through the national institution; and restaurants and cafés appear in the second of the fourteen listed categories, at letter b, not at letter n as has been asserted in the secondary literature.</w:t>
      </w:r>
      <w:r w:rsidRPr="006E68E3">
        <w:rPr>
          <w:rFonts w:ascii="Cambria" w:hAnsi="Cambria"/>
          <w:sz w:val="24"/>
          <w:szCs w:val="32"/>
          <w:vertAlign w:val="superscript"/>
          <w:lang w:val="en-AU"/>
        </w:rPr>
        <w:footnoteReference w:id="25"/>
      </w:r>
      <w:r w:rsidRPr="006E68E3">
        <w:rPr>
          <w:rFonts w:ascii="Cambria" w:hAnsi="Cambria"/>
          <w:sz w:val="24"/>
          <w:szCs w:val="32"/>
          <w:lang w:val="en-AU"/>
        </w:rPr>
        <w:t xml:space="preserve"> The point is worth correcting because a misplaced letter in a citation invites the reader to doubt the whole argument, and because letter n covers karaoke businesses, whose tariff basis is entirely different.</w:t>
      </w:r>
    </w:p>
    <w:p w14:paraId="55933431" w14:textId="77777777" w:rsidR="006E68E3" w:rsidRPr="006E68E3" w:rsidRDefault="006E68E3" w:rsidP="006E68E3">
      <w:pPr>
        <w:jc w:val="both"/>
        <w:rPr>
          <w:rFonts w:ascii="Cambria" w:hAnsi="Cambria"/>
          <w:sz w:val="24"/>
          <w:szCs w:val="32"/>
          <w:lang w:val="en-AU"/>
        </w:rPr>
      </w:pPr>
      <w:r w:rsidRPr="006E68E3">
        <w:rPr>
          <w:rFonts w:ascii="Cambria" w:hAnsi="Cambria"/>
          <w:sz w:val="24"/>
          <w:szCs w:val="32"/>
          <w:lang w:val="en-AU"/>
        </w:rPr>
        <w:t>Three misreadings recur among business operators and deserve doctrinal attention rather than repetition. The first is the private-use fallacy, which treats a consumer subscription to a streaming platform as a licence for public performance. The exception for personal use in Article 43 of the Copyright Law is precisely that, an exception for use that does not extend the work to the public; it cannot be stretched to cover playback that is an input to a commercial service.</w:t>
      </w:r>
      <w:r w:rsidRPr="006E68E3">
        <w:rPr>
          <w:rFonts w:ascii="Cambria" w:hAnsi="Cambria"/>
          <w:sz w:val="24"/>
          <w:szCs w:val="32"/>
          <w:vertAlign w:val="superscript"/>
          <w:lang w:val="en-AU"/>
        </w:rPr>
        <w:footnoteReference w:id="26"/>
      </w:r>
      <w:r w:rsidRPr="006E68E3">
        <w:rPr>
          <w:rFonts w:ascii="Cambria" w:hAnsi="Cambria"/>
          <w:sz w:val="24"/>
          <w:szCs w:val="32"/>
          <w:lang w:val="en-AU"/>
        </w:rPr>
        <w:t xml:space="preserve"> The second is the atmosphere fallacy, which supposes that background music is somehow less than a performance. Indonesian law does not grade communication to the public by volume or prominence; the trigger is commercial context, not audibility. The third is the direct-licence fallacy, which supposes that paying an artist or a label discharges the obligation. Under the blanket licence architecture, payment runs through the collective institution, and the Constitutional Court has now confirmed that the blanket mechanism is distinct in kind from a direct licence.</w:t>
      </w:r>
      <w:r w:rsidRPr="006E68E3">
        <w:rPr>
          <w:rFonts w:ascii="Cambria" w:hAnsi="Cambria"/>
          <w:sz w:val="24"/>
          <w:szCs w:val="32"/>
          <w:vertAlign w:val="superscript"/>
          <w:lang w:val="en-AU"/>
        </w:rPr>
        <w:footnoteReference w:id="27"/>
      </w:r>
    </w:p>
    <w:p w14:paraId="0B46254E" w14:textId="77777777" w:rsidR="006E68E3" w:rsidRPr="006E68E3" w:rsidRDefault="006E68E3" w:rsidP="006E68E3">
      <w:pPr>
        <w:jc w:val="both"/>
        <w:rPr>
          <w:rFonts w:ascii="Cambria" w:hAnsi="Cambria"/>
          <w:sz w:val="24"/>
          <w:szCs w:val="32"/>
          <w:lang w:val="en-ID"/>
        </w:rPr>
      </w:pPr>
      <w:r w:rsidRPr="006E68E3">
        <w:rPr>
          <w:rFonts w:ascii="Cambria" w:hAnsi="Cambria"/>
          <w:sz w:val="24"/>
          <w:szCs w:val="32"/>
          <w:lang w:val="en-AU"/>
        </w:rPr>
        <w:t>What is analytically more interesting than these errors is the collection architecture that makes them consequential. Indonesian royalty collection for commercial premises operates on self-assessment: the user is expected to compute the chargeable base, report it, and pay.</w:t>
      </w:r>
      <w:r w:rsidRPr="006E68E3">
        <w:rPr>
          <w:rFonts w:ascii="Cambria" w:hAnsi="Cambria"/>
          <w:sz w:val="24"/>
          <w:szCs w:val="32"/>
          <w:vertAlign w:val="superscript"/>
          <w:lang w:val="en-AU"/>
        </w:rPr>
        <w:footnoteReference w:id="28"/>
      </w:r>
      <w:r w:rsidRPr="006E68E3">
        <w:rPr>
          <w:rFonts w:ascii="Cambria" w:hAnsi="Cambria"/>
          <w:sz w:val="24"/>
          <w:szCs w:val="32"/>
          <w:lang w:val="en-AU"/>
        </w:rPr>
        <w:t xml:space="preserve"> Self-assessment is a defensible design where the taxpayer knows the obligation and the collector can audit. Here neither </w:t>
      </w:r>
      <w:r w:rsidRPr="006E68E3">
        <w:rPr>
          <w:rFonts w:ascii="Cambria" w:hAnsi="Cambria"/>
          <w:sz w:val="24"/>
          <w:szCs w:val="32"/>
          <w:lang w:val="en-AU"/>
        </w:rPr>
        <w:lastRenderedPageBreak/>
        <w:t>condition holds. The user frequently does not know the obligation exists, and the collecting institution has no inspection power comparable to a tax authority, which is why a commissioner of the national institution could describe the occupancy input as information only the venue owner possesses.</w:t>
      </w:r>
      <w:r w:rsidRPr="006E68E3">
        <w:rPr>
          <w:rFonts w:ascii="Cambria" w:hAnsi="Cambria"/>
          <w:sz w:val="24"/>
          <w:szCs w:val="32"/>
          <w:vertAlign w:val="superscript"/>
          <w:lang w:val="en-AU"/>
        </w:rPr>
        <w:footnoteReference w:id="29"/>
      </w:r>
      <w:r w:rsidRPr="006E68E3">
        <w:rPr>
          <w:rFonts w:ascii="Cambria" w:hAnsi="Cambria"/>
          <w:sz w:val="24"/>
          <w:szCs w:val="32"/>
          <w:lang w:val="en-AU"/>
        </w:rPr>
        <w:t xml:space="preserve"> A self-assessment system without audit capability and without an administrative sanction is not a collection system; it is a request. That is the structural finding, and it explains the aggregate data far better than any account premised on individual bad faith</w:t>
      </w:r>
      <w:r w:rsidRPr="006E68E3">
        <w:rPr>
          <w:rFonts w:ascii="Cambria" w:hAnsi="Cambria"/>
          <w:sz w:val="24"/>
          <w:szCs w:val="32"/>
          <w:lang w:val="en-ID"/>
        </w:rPr>
        <w:t xml:space="preserve"> </w:t>
      </w:r>
    </w:p>
    <w:p w14:paraId="7516A72E"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The tariff is fixed and public. For music-playing culinary businesses in the restaurant and café category, royalties are set per seat per year: IDR 60,000 for the creators’ side and IDR 60,000 for the related-rights side, giving IDR 120,000 per seat per year, with payment due at least annually.</w:t>
      </w:r>
      <w:r w:rsidRPr="006E68E3">
        <w:rPr>
          <w:rFonts w:ascii="Cambria" w:eastAsia="Cambria" w:hAnsi="Cambria" w:cs="Times New Roman"/>
          <w:sz w:val="24"/>
          <w:szCs w:val="24"/>
          <w:vertAlign w:val="superscript"/>
          <w:lang w:val="en-AU" w:eastAsia="en-AU" w:bidi="ar-SA"/>
        </w:rPr>
        <w:footnoteReference w:id="30"/>
      </w:r>
      <w:r w:rsidRPr="006E68E3">
        <w:rPr>
          <w:rFonts w:ascii="Cambria" w:eastAsia="Cambria" w:hAnsi="Cambria" w:cs="Times New Roman"/>
          <w:sz w:val="24"/>
          <w:szCs w:val="24"/>
          <w:lang w:val="en-AU" w:eastAsia="en-AU" w:bidi="ar-SA"/>
        </w:rPr>
        <w:t xml:space="preserve"> Dividing the settlement by that tariff yields approximately 18,871 chargeable seat-years. Distributing that figure across plausible operating scenarios produces Table 2.</w:t>
      </w:r>
    </w:p>
    <w:p w14:paraId="01188A73" w14:textId="77777777" w:rsidR="006E68E3" w:rsidRPr="006E68E3" w:rsidRDefault="006E68E3" w:rsidP="006E68E3">
      <w:pPr>
        <w:spacing w:before="200" w:after="80"/>
        <w:jc w:val="center"/>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Table 2.</w:t>
      </w:r>
      <w:r w:rsidRPr="006E68E3">
        <w:rPr>
          <w:rFonts w:ascii="Cambria" w:eastAsia="Cambria" w:hAnsi="Cambria" w:cs="Times New Roman"/>
          <w:sz w:val="24"/>
          <w:szCs w:val="24"/>
          <w:lang w:val="en-AU" w:eastAsia="en-AU" w:bidi="ar-SA"/>
        </w:rPr>
        <w:t xml:space="preserve"> Reconstruction of the Settlement Against the Statutory Tariff</w:t>
      </w:r>
    </w:p>
    <w:tbl>
      <w:tblPr>
        <w:tblW w:w="9100" w:type="dxa"/>
        <w:tblBorders>
          <w:top w:val="single" w:sz="6" w:space="0" w:color="000000"/>
          <w:bottom w:val="single" w:sz="6" w:space="0" w:color="000000"/>
          <w:insideH w:val="single" w:sz="6" w:space="0" w:color="000000"/>
        </w:tblBorders>
        <w:tblCellMar>
          <w:left w:w="10" w:type="dxa"/>
          <w:right w:w="10" w:type="dxa"/>
        </w:tblCellMar>
        <w:tblLook w:val="04A0" w:firstRow="1" w:lastRow="0" w:firstColumn="1" w:lastColumn="0" w:noHBand="0" w:noVBand="1"/>
      </w:tblPr>
      <w:tblGrid>
        <w:gridCol w:w="3400"/>
        <w:gridCol w:w="2000"/>
        <w:gridCol w:w="1900"/>
        <w:gridCol w:w="1800"/>
      </w:tblGrid>
      <w:tr w:rsidR="006E68E3" w:rsidRPr="006E68E3" w14:paraId="2D27915C" w14:textId="77777777">
        <w:trPr>
          <w:tblHeader/>
        </w:trPr>
        <w:tc>
          <w:tcPr>
            <w:tcW w:w="3400" w:type="dxa"/>
            <w:tcBorders>
              <w:top w:val="single" w:sz="6" w:space="0" w:color="000000"/>
              <w:left w:val="nil"/>
              <w:bottom w:val="single" w:sz="6" w:space="0" w:color="000000"/>
              <w:right w:val="nil"/>
            </w:tcBorders>
            <w:tcMar>
              <w:top w:w="60" w:type="dxa"/>
              <w:left w:w="90" w:type="dxa"/>
              <w:bottom w:w="60" w:type="dxa"/>
              <w:right w:w="90" w:type="dxa"/>
            </w:tcMar>
            <w:hideMark/>
          </w:tcPr>
          <w:p w14:paraId="2583FF46"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Scenario (outlets × years charged)</w:t>
            </w:r>
          </w:p>
        </w:tc>
        <w:tc>
          <w:tcPr>
            <w:tcW w:w="2000" w:type="dxa"/>
            <w:tcBorders>
              <w:top w:val="single" w:sz="6" w:space="0" w:color="000000"/>
              <w:left w:val="nil"/>
              <w:bottom w:val="single" w:sz="6" w:space="0" w:color="000000"/>
              <w:right w:val="nil"/>
            </w:tcBorders>
            <w:tcMar>
              <w:top w:w="60" w:type="dxa"/>
              <w:left w:w="90" w:type="dxa"/>
              <w:bottom w:w="60" w:type="dxa"/>
              <w:right w:w="90" w:type="dxa"/>
            </w:tcMar>
            <w:hideMark/>
          </w:tcPr>
          <w:p w14:paraId="53E4DB53"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Outlet-years</w:t>
            </w:r>
          </w:p>
        </w:tc>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0DBEDBA8"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Implied chargeable seats per outlet</w:t>
            </w:r>
          </w:p>
        </w:tc>
        <w:tc>
          <w:tcPr>
            <w:tcW w:w="1800" w:type="dxa"/>
            <w:tcBorders>
              <w:top w:val="single" w:sz="6" w:space="0" w:color="000000"/>
              <w:left w:val="nil"/>
              <w:bottom w:val="single" w:sz="6" w:space="0" w:color="000000"/>
              <w:right w:val="nil"/>
            </w:tcBorders>
            <w:tcMar>
              <w:top w:w="60" w:type="dxa"/>
              <w:left w:w="90" w:type="dxa"/>
              <w:bottom w:w="60" w:type="dxa"/>
              <w:right w:w="90" w:type="dxa"/>
            </w:tcMar>
            <w:hideMark/>
          </w:tcPr>
          <w:p w14:paraId="6DFD6564"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Implied royalty per outlet-year (IDR)</w:t>
            </w:r>
          </w:p>
        </w:tc>
      </w:tr>
      <w:tr w:rsidR="006E68E3" w:rsidRPr="006E68E3" w14:paraId="79660E74" w14:textId="77777777">
        <w:tc>
          <w:tcPr>
            <w:tcW w:w="3400" w:type="dxa"/>
            <w:tcBorders>
              <w:top w:val="single" w:sz="6" w:space="0" w:color="000000"/>
              <w:left w:val="nil"/>
              <w:bottom w:val="single" w:sz="6" w:space="0" w:color="000000"/>
              <w:right w:val="nil"/>
            </w:tcBorders>
            <w:tcMar>
              <w:top w:w="60" w:type="dxa"/>
              <w:left w:w="90" w:type="dxa"/>
              <w:bottom w:w="60" w:type="dxa"/>
              <w:right w:w="90" w:type="dxa"/>
            </w:tcMar>
            <w:hideMark/>
          </w:tcPr>
          <w:p w14:paraId="62003CC7"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65 × 4.0 (full 2022–2025)</w:t>
            </w:r>
          </w:p>
        </w:tc>
        <w:tc>
          <w:tcPr>
            <w:tcW w:w="2000" w:type="dxa"/>
            <w:tcBorders>
              <w:top w:val="single" w:sz="6" w:space="0" w:color="000000"/>
              <w:left w:val="nil"/>
              <w:bottom w:val="single" w:sz="6" w:space="0" w:color="000000"/>
              <w:right w:val="nil"/>
            </w:tcBorders>
            <w:tcMar>
              <w:top w:w="60" w:type="dxa"/>
              <w:left w:w="90" w:type="dxa"/>
              <w:bottom w:w="60" w:type="dxa"/>
              <w:right w:w="90" w:type="dxa"/>
            </w:tcMar>
            <w:hideMark/>
          </w:tcPr>
          <w:p w14:paraId="3E288DA3"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260.0</w:t>
            </w:r>
          </w:p>
        </w:tc>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34CE7CE8"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72.6</w:t>
            </w:r>
          </w:p>
        </w:tc>
        <w:tc>
          <w:tcPr>
            <w:tcW w:w="1800" w:type="dxa"/>
            <w:tcBorders>
              <w:top w:val="single" w:sz="6" w:space="0" w:color="000000"/>
              <w:left w:val="nil"/>
              <w:bottom w:val="single" w:sz="6" w:space="0" w:color="000000"/>
              <w:right w:val="nil"/>
            </w:tcBorders>
            <w:tcMar>
              <w:top w:w="60" w:type="dxa"/>
              <w:left w:w="90" w:type="dxa"/>
              <w:bottom w:w="60" w:type="dxa"/>
              <w:right w:w="90" w:type="dxa"/>
            </w:tcMar>
            <w:hideMark/>
          </w:tcPr>
          <w:p w14:paraId="709AB030"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8,709,623</w:t>
            </w:r>
          </w:p>
        </w:tc>
      </w:tr>
      <w:tr w:rsidR="006E68E3" w:rsidRPr="006E68E3" w14:paraId="66BFC95B" w14:textId="77777777">
        <w:tc>
          <w:tcPr>
            <w:tcW w:w="3400" w:type="dxa"/>
            <w:tcBorders>
              <w:top w:val="single" w:sz="6" w:space="0" w:color="000000"/>
              <w:left w:val="nil"/>
              <w:bottom w:val="single" w:sz="6" w:space="0" w:color="000000"/>
              <w:right w:val="nil"/>
            </w:tcBorders>
            <w:tcMar>
              <w:top w:w="60" w:type="dxa"/>
              <w:left w:w="90" w:type="dxa"/>
              <w:bottom w:w="60" w:type="dxa"/>
              <w:right w:w="90" w:type="dxa"/>
            </w:tcMar>
            <w:hideMark/>
          </w:tcPr>
          <w:p w14:paraId="5B45836E"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65 × 3.5 (staggered openings)</w:t>
            </w:r>
          </w:p>
        </w:tc>
        <w:tc>
          <w:tcPr>
            <w:tcW w:w="2000" w:type="dxa"/>
            <w:tcBorders>
              <w:top w:val="single" w:sz="6" w:space="0" w:color="000000"/>
              <w:left w:val="nil"/>
              <w:bottom w:val="single" w:sz="6" w:space="0" w:color="000000"/>
              <w:right w:val="nil"/>
            </w:tcBorders>
            <w:tcMar>
              <w:top w:w="60" w:type="dxa"/>
              <w:left w:w="90" w:type="dxa"/>
              <w:bottom w:w="60" w:type="dxa"/>
              <w:right w:w="90" w:type="dxa"/>
            </w:tcMar>
            <w:hideMark/>
          </w:tcPr>
          <w:p w14:paraId="14D00694"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227.5</w:t>
            </w:r>
          </w:p>
        </w:tc>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0B9919A9"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82.9</w:t>
            </w:r>
          </w:p>
        </w:tc>
        <w:tc>
          <w:tcPr>
            <w:tcW w:w="1800" w:type="dxa"/>
            <w:tcBorders>
              <w:top w:val="single" w:sz="6" w:space="0" w:color="000000"/>
              <w:left w:val="nil"/>
              <w:bottom w:val="single" w:sz="6" w:space="0" w:color="000000"/>
              <w:right w:val="nil"/>
            </w:tcBorders>
            <w:tcMar>
              <w:top w:w="60" w:type="dxa"/>
              <w:left w:w="90" w:type="dxa"/>
              <w:bottom w:w="60" w:type="dxa"/>
              <w:right w:w="90" w:type="dxa"/>
            </w:tcMar>
            <w:hideMark/>
          </w:tcPr>
          <w:p w14:paraId="0B7A1D39"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9,953,855</w:t>
            </w:r>
          </w:p>
        </w:tc>
      </w:tr>
      <w:tr w:rsidR="006E68E3" w:rsidRPr="006E68E3" w14:paraId="57B573CD" w14:textId="77777777">
        <w:tc>
          <w:tcPr>
            <w:tcW w:w="3400" w:type="dxa"/>
            <w:tcBorders>
              <w:top w:val="single" w:sz="6" w:space="0" w:color="000000"/>
              <w:left w:val="nil"/>
              <w:bottom w:val="single" w:sz="6" w:space="0" w:color="000000"/>
              <w:right w:val="nil"/>
            </w:tcBorders>
            <w:tcMar>
              <w:top w:w="60" w:type="dxa"/>
              <w:left w:w="90" w:type="dxa"/>
              <w:bottom w:w="60" w:type="dxa"/>
              <w:right w:w="90" w:type="dxa"/>
            </w:tcMar>
            <w:hideMark/>
          </w:tcPr>
          <w:p w14:paraId="669C83FE"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65 × 3.0 (three chargeable years)</w:t>
            </w:r>
          </w:p>
        </w:tc>
        <w:tc>
          <w:tcPr>
            <w:tcW w:w="2000" w:type="dxa"/>
            <w:tcBorders>
              <w:top w:val="single" w:sz="6" w:space="0" w:color="000000"/>
              <w:left w:val="nil"/>
              <w:bottom w:val="single" w:sz="6" w:space="0" w:color="000000"/>
              <w:right w:val="nil"/>
            </w:tcBorders>
            <w:tcMar>
              <w:top w:w="60" w:type="dxa"/>
              <w:left w:w="90" w:type="dxa"/>
              <w:bottom w:w="60" w:type="dxa"/>
              <w:right w:w="90" w:type="dxa"/>
            </w:tcMar>
            <w:hideMark/>
          </w:tcPr>
          <w:p w14:paraId="1D80A29C"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195.0</w:t>
            </w:r>
          </w:p>
        </w:tc>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6AEAED65"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96.8</w:t>
            </w:r>
          </w:p>
        </w:tc>
        <w:tc>
          <w:tcPr>
            <w:tcW w:w="1800" w:type="dxa"/>
            <w:tcBorders>
              <w:top w:val="single" w:sz="6" w:space="0" w:color="000000"/>
              <w:left w:val="nil"/>
              <w:bottom w:val="single" w:sz="6" w:space="0" w:color="000000"/>
              <w:right w:val="nil"/>
            </w:tcBorders>
            <w:tcMar>
              <w:top w:w="60" w:type="dxa"/>
              <w:left w:w="90" w:type="dxa"/>
              <w:bottom w:w="60" w:type="dxa"/>
              <w:right w:w="90" w:type="dxa"/>
            </w:tcMar>
            <w:hideMark/>
          </w:tcPr>
          <w:p w14:paraId="51A23AC5"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11,612,831</w:t>
            </w:r>
          </w:p>
        </w:tc>
      </w:tr>
      <w:tr w:rsidR="006E68E3" w:rsidRPr="006E68E3" w14:paraId="5916AF4A" w14:textId="77777777">
        <w:tc>
          <w:tcPr>
            <w:tcW w:w="3400" w:type="dxa"/>
            <w:tcBorders>
              <w:top w:val="single" w:sz="6" w:space="0" w:color="000000"/>
              <w:left w:val="nil"/>
              <w:bottom w:val="single" w:sz="6" w:space="0" w:color="000000"/>
              <w:right w:val="nil"/>
            </w:tcBorders>
            <w:tcMar>
              <w:top w:w="60" w:type="dxa"/>
              <w:left w:w="90" w:type="dxa"/>
              <w:bottom w:w="60" w:type="dxa"/>
              <w:right w:w="90" w:type="dxa"/>
            </w:tcMar>
            <w:hideMark/>
          </w:tcPr>
          <w:p w14:paraId="67287050"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xml:space="preserve">50 </w:t>
            </w:r>
            <w:proofErr w:type="gramStart"/>
            <w:r w:rsidRPr="006E68E3">
              <w:rPr>
                <w:rFonts w:ascii="Cambria" w:eastAsia="Cambria" w:hAnsi="Cambria" w:cs="Times New Roman"/>
                <w:sz w:val="24"/>
                <w:szCs w:val="24"/>
                <w:lang w:val="en-AU" w:eastAsia="en-AU" w:bidi="ar-SA"/>
              </w:rPr>
              <w:t>average</w:t>
            </w:r>
            <w:proofErr w:type="gramEnd"/>
            <w:r w:rsidRPr="006E68E3">
              <w:rPr>
                <w:rFonts w:ascii="Cambria" w:eastAsia="Cambria" w:hAnsi="Cambria" w:cs="Times New Roman"/>
                <w:sz w:val="24"/>
                <w:szCs w:val="24"/>
                <w:lang w:val="en-AU" w:eastAsia="en-AU" w:bidi="ar-SA"/>
              </w:rPr>
              <w:t xml:space="preserve"> × 4.0 (growth-adjusted)</w:t>
            </w:r>
          </w:p>
        </w:tc>
        <w:tc>
          <w:tcPr>
            <w:tcW w:w="2000" w:type="dxa"/>
            <w:tcBorders>
              <w:top w:val="single" w:sz="6" w:space="0" w:color="000000"/>
              <w:left w:val="nil"/>
              <w:bottom w:val="single" w:sz="6" w:space="0" w:color="000000"/>
              <w:right w:val="nil"/>
            </w:tcBorders>
            <w:tcMar>
              <w:top w:w="60" w:type="dxa"/>
              <w:left w:w="90" w:type="dxa"/>
              <w:bottom w:w="60" w:type="dxa"/>
              <w:right w:w="90" w:type="dxa"/>
            </w:tcMar>
            <w:hideMark/>
          </w:tcPr>
          <w:p w14:paraId="15699C09"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200.0</w:t>
            </w:r>
          </w:p>
        </w:tc>
        <w:tc>
          <w:tcPr>
            <w:tcW w:w="1900" w:type="dxa"/>
            <w:tcBorders>
              <w:top w:val="single" w:sz="6" w:space="0" w:color="000000"/>
              <w:left w:val="nil"/>
              <w:bottom w:val="single" w:sz="6" w:space="0" w:color="000000"/>
              <w:right w:val="nil"/>
            </w:tcBorders>
            <w:tcMar>
              <w:top w:w="60" w:type="dxa"/>
              <w:left w:w="90" w:type="dxa"/>
              <w:bottom w:w="60" w:type="dxa"/>
              <w:right w:w="90" w:type="dxa"/>
            </w:tcMar>
            <w:hideMark/>
          </w:tcPr>
          <w:p w14:paraId="0F93B920"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94.4</w:t>
            </w:r>
          </w:p>
        </w:tc>
        <w:tc>
          <w:tcPr>
            <w:tcW w:w="1800" w:type="dxa"/>
            <w:tcBorders>
              <w:top w:val="single" w:sz="6" w:space="0" w:color="000000"/>
              <w:left w:val="nil"/>
              <w:bottom w:val="single" w:sz="6" w:space="0" w:color="000000"/>
              <w:right w:val="nil"/>
            </w:tcBorders>
            <w:tcMar>
              <w:top w:w="60" w:type="dxa"/>
              <w:left w:w="90" w:type="dxa"/>
              <w:bottom w:w="60" w:type="dxa"/>
              <w:right w:w="90" w:type="dxa"/>
            </w:tcMar>
            <w:hideMark/>
          </w:tcPr>
          <w:p w14:paraId="3131A86A"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11,322,510</w:t>
            </w:r>
          </w:p>
        </w:tc>
      </w:tr>
    </w:tbl>
    <w:p w14:paraId="564FA058" w14:textId="77777777" w:rsidR="006E68E3" w:rsidRPr="006E68E3" w:rsidRDefault="006E68E3" w:rsidP="006E68E3">
      <w:pPr>
        <w:spacing w:before="80"/>
        <w:jc w:val="both"/>
        <w:rPr>
          <w:rFonts w:ascii="Cambria" w:eastAsia="Cambria" w:hAnsi="Cambria" w:cs="Times New Roman"/>
          <w:sz w:val="24"/>
          <w:szCs w:val="24"/>
          <w:lang w:val="en-AU" w:eastAsia="en-AU" w:bidi="ar-SA"/>
        </w:rPr>
      </w:pPr>
      <w:r w:rsidRPr="006E68E3">
        <w:rPr>
          <w:rFonts w:ascii="Cambria" w:eastAsia="Cambria" w:hAnsi="Cambria" w:cs="Times New Roman"/>
          <w:i/>
          <w:iCs/>
          <w:sz w:val="24"/>
          <w:szCs w:val="24"/>
          <w:lang w:val="en-AU" w:eastAsia="en-AU" w:bidi="ar-SA"/>
        </w:rPr>
        <w:t>Source: Processed from the 2016 tariff decree and the published settlement figure of IDR 2,264,502,000, 2026. Assumptions: tariff of IDR 120,000 per seat per year; the calculation basis agreed by the parties was not published; occupancy adjustment applied by the collecting institution is not separately observable and is therefore absorbed into the implied seat figure.</w:t>
      </w:r>
    </w:p>
    <w:p w14:paraId="47C7307A"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lastRenderedPageBreak/>
        <w:t>The reconstruction is instructive in two directions. It shows, first, that the settlement is consistent with a straightforward application of the published tariff to outlets of a plausible size, which undercuts the suggestion, common in public commentary, that the figure was arbitrary or punitive. An implied range of roughly seventy-three to ninety-seven chargeable seats per outlet is unremarkable for a chain of this format. The settlement was, in substance, the tariff. Second, and more importantly, it shows how small the annual obligation actually was. At between eight and twelve million rupiah per outlet per year, compliance would have cost the company an amount that is trivial against outlet-level revenue, and the entire national exposure for a single year would have been a fraction of the legal and reputational cost of the investigation that followed. The economic irrationality of non-compliance is the strongest available evidence that the failure was informational and organisational rather than strategic, which in turn is what makes the case a legal-culture problem rather than a deterrence problem in the classical sense.</w:t>
      </w:r>
    </w:p>
    <w:p w14:paraId="3F9B905D"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Placing the figure in the national picture makes the point sharper still. Table 3 sets out collection and distribution performance.</w:t>
      </w:r>
    </w:p>
    <w:p w14:paraId="4DFE03AB" w14:textId="77777777" w:rsidR="006E68E3" w:rsidRPr="006E68E3" w:rsidRDefault="006E68E3" w:rsidP="006E68E3">
      <w:pPr>
        <w:spacing w:before="200" w:after="80"/>
        <w:jc w:val="center"/>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Table 3.</w:t>
      </w:r>
      <w:r w:rsidRPr="006E68E3">
        <w:rPr>
          <w:rFonts w:ascii="Cambria" w:eastAsia="Cambria" w:hAnsi="Cambria" w:cs="Times New Roman"/>
          <w:sz w:val="24"/>
          <w:szCs w:val="24"/>
          <w:lang w:val="en-AU" w:eastAsia="en-AU" w:bidi="ar-SA"/>
        </w:rPr>
        <w:t xml:space="preserve"> National Royalty Collection and Distribution, 2022–2025</w:t>
      </w:r>
    </w:p>
    <w:tbl>
      <w:tblPr>
        <w:tblW w:w="8505" w:type="dxa"/>
        <w:tblBorders>
          <w:top w:val="single" w:sz="6" w:space="0" w:color="000000"/>
          <w:bottom w:val="single" w:sz="6" w:space="0" w:color="000000"/>
          <w:insideH w:val="single" w:sz="6" w:space="0" w:color="000000"/>
        </w:tblBorders>
        <w:tblCellMar>
          <w:left w:w="10" w:type="dxa"/>
          <w:right w:w="10" w:type="dxa"/>
        </w:tblCellMar>
        <w:tblLook w:val="04A0" w:firstRow="1" w:lastRow="0" w:firstColumn="1" w:lastColumn="0" w:noHBand="0" w:noVBand="1"/>
      </w:tblPr>
      <w:tblGrid>
        <w:gridCol w:w="712"/>
        <w:gridCol w:w="2549"/>
        <w:gridCol w:w="3118"/>
        <w:gridCol w:w="2126"/>
      </w:tblGrid>
      <w:tr w:rsidR="006E68E3" w:rsidRPr="006E68E3" w14:paraId="5A209A8B" w14:textId="77777777" w:rsidTr="006E68E3">
        <w:trPr>
          <w:tblHeader/>
        </w:trPr>
        <w:tc>
          <w:tcPr>
            <w:tcW w:w="712" w:type="dxa"/>
            <w:tcBorders>
              <w:top w:val="single" w:sz="6" w:space="0" w:color="000000"/>
              <w:left w:val="nil"/>
              <w:bottom w:val="single" w:sz="6" w:space="0" w:color="000000"/>
              <w:right w:val="nil"/>
            </w:tcBorders>
            <w:tcMar>
              <w:top w:w="60" w:type="dxa"/>
              <w:left w:w="90" w:type="dxa"/>
              <w:bottom w:w="60" w:type="dxa"/>
              <w:right w:w="90" w:type="dxa"/>
            </w:tcMar>
            <w:hideMark/>
          </w:tcPr>
          <w:p w14:paraId="24DFA6B1"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Year</w:t>
            </w:r>
          </w:p>
        </w:tc>
        <w:tc>
          <w:tcPr>
            <w:tcW w:w="2549" w:type="dxa"/>
            <w:tcBorders>
              <w:top w:val="single" w:sz="6" w:space="0" w:color="000000"/>
              <w:left w:val="nil"/>
              <w:bottom w:val="single" w:sz="6" w:space="0" w:color="000000"/>
              <w:right w:val="nil"/>
            </w:tcBorders>
            <w:tcMar>
              <w:top w:w="60" w:type="dxa"/>
              <w:left w:w="90" w:type="dxa"/>
              <w:bottom w:w="60" w:type="dxa"/>
              <w:right w:w="90" w:type="dxa"/>
            </w:tcMar>
            <w:hideMark/>
          </w:tcPr>
          <w:p w14:paraId="330A9989"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Distribution to rights holders (IDR)</w:t>
            </w:r>
          </w:p>
        </w:tc>
        <w:tc>
          <w:tcPr>
            <w:tcW w:w="3118" w:type="dxa"/>
            <w:tcBorders>
              <w:top w:val="single" w:sz="6" w:space="0" w:color="000000"/>
              <w:left w:val="nil"/>
              <w:bottom w:val="single" w:sz="6" w:space="0" w:color="000000"/>
              <w:right w:val="nil"/>
            </w:tcBorders>
            <w:tcMar>
              <w:top w:w="60" w:type="dxa"/>
              <w:left w:w="90" w:type="dxa"/>
              <w:bottom w:w="60" w:type="dxa"/>
              <w:right w:w="90" w:type="dxa"/>
            </w:tcMar>
            <w:hideMark/>
          </w:tcPr>
          <w:p w14:paraId="38B0F051"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Analogue collection (IDR)</w:t>
            </w:r>
          </w:p>
        </w:tc>
        <w:tc>
          <w:tcPr>
            <w:tcW w:w="2126" w:type="dxa"/>
            <w:tcBorders>
              <w:top w:val="single" w:sz="6" w:space="0" w:color="000000"/>
              <w:left w:val="nil"/>
              <w:bottom w:val="single" w:sz="6" w:space="0" w:color="000000"/>
              <w:right w:val="nil"/>
            </w:tcBorders>
            <w:tcMar>
              <w:top w:w="60" w:type="dxa"/>
              <w:left w:w="90" w:type="dxa"/>
              <w:bottom w:w="60" w:type="dxa"/>
              <w:right w:w="90" w:type="dxa"/>
            </w:tcMar>
            <w:hideMark/>
          </w:tcPr>
          <w:p w14:paraId="77001B34"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b/>
                <w:bCs/>
                <w:sz w:val="24"/>
                <w:szCs w:val="24"/>
                <w:lang w:val="en-AU" w:eastAsia="en-AU" w:bidi="ar-SA"/>
              </w:rPr>
              <w:t>Live-event collection (IDR)</w:t>
            </w:r>
          </w:p>
        </w:tc>
      </w:tr>
      <w:tr w:rsidR="006E68E3" w:rsidRPr="006E68E3" w14:paraId="4C0AA608" w14:textId="77777777" w:rsidTr="006E68E3">
        <w:tc>
          <w:tcPr>
            <w:tcW w:w="712" w:type="dxa"/>
            <w:tcBorders>
              <w:top w:val="single" w:sz="6" w:space="0" w:color="000000"/>
              <w:left w:val="nil"/>
              <w:bottom w:val="single" w:sz="6" w:space="0" w:color="000000"/>
              <w:right w:val="nil"/>
            </w:tcBorders>
            <w:tcMar>
              <w:top w:w="60" w:type="dxa"/>
              <w:left w:w="90" w:type="dxa"/>
              <w:bottom w:w="60" w:type="dxa"/>
              <w:right w:w="90" w:type="dxa"/>
            </w:tcMar>
            <w:hideMark/>
          </w:tcPr>
          <w:p w14:paraId="2FD59BB1"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2022</w:t>
            </w:r>
          </w:p>
        </w:tc>
        <w:tc>
          <w:tcPr>
            <w:tcW w:w="2549" w:type="dxa"/>
            <w:tcBorders>
              <w:top w:val="single" w:sz="6" w:space="0" w:color="000000"/>
              <w:left w:val="nil"/>
              <w:bottom w:val="single" w:sz="6" w:space="0" w:color="000000"/>
              <w:right w:val="nil"/>
            </w:tcBorders>
            <w:tcMar>
              <w:top w:w="60" w:type="dxa"/>
              <w:left w:w="90" w:type="dxa"/>
              <w:bottom w:w="60" w:type="dxa"/>
              <w:right w:w="90" w:type="dxa"/>
            </w:tcMar>
            <w:hideMark/>
          </w:tcPr>
          <w:p w14:paraId="30C29CEF"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27,807,947,382</w:t>
            </w:r>
          </w:p>
        </w:tc>
        <w:tc>
          <w:tcPr>
            <w:tcW w:w="3118" w:type="dxa"/>
            <w:tcBorders>
              <w:top w:val="single" w:sz="6" w:space="0" w:color="000000"/>
              <w:left w:val="nil"/>
              <w:bottom w:val="single" w:sz="6" w:space="0" w:color="000000"/>
              <w:right w:val="nil"/>
            </w:tcBorders>
            <w:tcMar>
              <w:top w:w="60" w:type="dxa"/>
              <w:left w:w="90" w:type="dxa"/>
              <w:bottom w:w="60" w:type="dxa"/>
              <w:right w:w="90" w:type="dxa"/>
            </w:tcMar>
            <w:hideMark/>
          </w:tcPr>
          <w:p w14:paraId="350B492D"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not separately published</w:t>
            </w:r>
          </w:p>
        </w:tc>
        <w:tc>
          <w:tcPr>
            <w:tcW w:w="2126" w:type="dxa"/>
            <w:tcBorders>
              <w:top w:val="single" w:sz="6" w:space="0" w:color="000000"/>
              <w:left w:val="nil"/>
              <w:bottom w:val="single" w:sz="6" w:space="0" w:color="000000"/>
              <w:right w:val="nil"/>
            </w:tcBorders>
            <w:tcMar>
              <w:top w:w="60" w:type="dxa"/>
              <w:left w:w="90" w:type="dxa"/>
              <w:bottom w:w="60" w:type="dxa"/>
              <w:right w:w="90" w:type="dxa"/>
            </w:tcMar>
            <w:hideMark/>
          </w:tcPr>
          <w:p w14:paraId="0D0320B6"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56,000,000</w:t>
            </w:r>
          </w:p>
        </w:tc>
      </w:tr>
      <w:tr w:rsidR="006E68E3" w:rsidRPr="006E68E3" w14:paraId="7B9CE901" w14:textId="77777777" w:rsidTr="006E68E3">
        <w:tc>
          <w:tcPr>
            <w:tcW w:w="712" w:type="dxa"/>
            <w:tcBorders>
              <w:top w:val="single" w:sz="6" w:space="0" w:color="000000"/>
              <w:left w:val="nil"/>
              <w:bottom w:val="single" w:sz="6" w:space="0" w:color="000000"/>
              <w:right w:val="nil"/>
            </w:tcBorders>
            <w:tcMar>
              <w:top w:w="60" w:type="dxa"/>
              <w:left w:w="90" w:type="dxa"/>
              <w:bottom w:w="60" w:type="dxa"/>
              <w:right w:w="90" w:type="dxa"/>
            </w:tcMar>
            <w:hideMark/>
          </w:tcPr>
          <w:p w14:paraId="4F90586C"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2023</w:t>
            </w:r>
          </w:p>
        </w:tc>
        <w:tc>
          <w:tcPr>
            <w:tcW w:w="2549" w:type="dxa"/>
            <w:tcBorders>
              <w:top w:val="single" w:sz="6" w:space="0" w:color="000000"/>
              <w:left w:val="nil"/>
              <w:bottom w:val="single" w:sz="6" w:space="0" w:color="000000"/>
              <w:right w:val="nil"/>
            </w:tcBorders>
            <w:tcMar>
              <w:top w:w="60" w:type="dxa"/>
              <w:left w:w="90" w:type="dxa"/>
              <w:bottom w:w="60" w:type="dxa"/>
              <w:right w:w="90" w:type="dxa"/>
            </w:tcMar>
            <w:hideMark/>
          </w:tcPr>
          <w:p w14:paraId="6F9D0711"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40,794,507,584</w:t>
            </w:r>
          </w:p>
        </w:tc>
        <w:tc>
          <w:tcPr>
            <w:tcW w:w="3118" w:type="dxa"/>
            <w:tcBorders>
              <w:top w:val="single" w:sz="6" w:space="0" w:color="000000"/>
              <w:left w:val="nil"/>
              <w:bottom w:val="single" w:sz="6" w:space="0" w:color="000000"/>
              <w:right w:val="nil"/>
            </w:tcBorders>
            <w:tcMar>
              <w:top w:w="60" w:type="dxa"/>
              <w:left w:w="90" w:type="dxa"/>
              <w:bottom w:w="60" w:type="dxa"/>
              <w:right w:w="90" w:type="dxa"/>
            </w:tcMar>
            <w:hideMark/>
          </w:tcPr>
          <w:p w14:paraId="7624FD3A"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not separately published</w:t>
            </w:r>
          </w:p>
        </w:tc>
        <w:tc>
          <w:tcPr>
            <w:tcW w:w="2126" w:type="dxa"/>
            <w:tcBorders>
              <w:top w:val="single" w:sz="6" w:space="0" w:color="000000"/>
              <w:left w:val="nil"/>
              <w:bottom w:val="single" w:sz="6" w:space="0" w:color="000000"/>
              <w:right w:val="nil"/>
            </w:tcBorders>
            <w:tcMar>
              <w:top w:w="60" w:type="dxa"/>
              <w:left w:w="90" w:type="dxa"/>
              <w:bottom w:w="60" w:type="dxa"/>
              <w:right w:w="90" w:type="dxa"/>
            </w:tcMar>
            <w:hideMark/>
          </w:tcPr>
          <w:p w14:paraId="04138333"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not separately published</w:t>
            </w:r>
          </w:p>
        </w:tc>
      </w:tr>
      <w:tr w:rsidR="006E68E3" w:rsidRPr="006E68E3" w14:paraId="277BACD3" w14:textId="77777777" w:rsidTr="006E68E3">
        <w:tc>
          <w:tcPr>
            <w:tcW w:w="712" w:type="dxa"/>
            <w:tcBorders>
              <w:top w:val="single" w:sz="6" w:space="0" w:color="000000"/>
              <w:left w:val="nil"/>
              <w:bottom w:val="single" w:sz="6" w:space="0" w:color="000000"/>
              <w:right w:val="nil"/>
            </w:tcBorders>
            <w:tcMar>
              <w:top w:w="60" w:type="dxa"/>
              <w:left w:w="90" w:type="dxa"/>
              <w:bottom w:w="60" w:type="dxa"/>
              <w:right w:w="90" w:type="dxa"/>
            </w:tcMar>
            <w:hideMark/>
          </w:tcPr>
          <w:p w14:paraId="4DA3D561"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2024</w:t>
            </w:r>
          </w:p>
        </w:tc>
        <w:tc>
          <w:tcPr>
            <w:tcW w:w="2549" w:type="dxa"/>
            <w:tcBorders>
              <w:top w:val="single" w:sz="6" w:space="0" w:color="000000"/>
              <w:left w:val="nil"/>
              <w:bottom w:val="single" w:sz="6" w:space="0" w:color="000000"/>
              <w:right w:val="nil"/>
            </w:tcBorders>
            <w:tcMar>
              <w:top w:w="60" w:type="dxa"/>
              <w:left w:w="90" w:type="dxa"/>
              <w:bottom w:w="60" w:type="dxa"/>
              <w:right w:w="90" w:type="dxa"/>
            </w:tcMar>
            <w:hideMark/>
          </w:tcPr>
          <w:p w14:paraId="213DDA8F"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54,243,955,894</w:t>
            </w:r>
          </w:p>
        </w:tc>
        <w:tc>
          <w:tcPr>
            <w:tcW w:w="3118" w:type="dxa"/>
            <w:tcBorders>
              <w:top w:val="single" w:sz="6" w:space="0" w:color="000000"/>
              <w:left w:val="nil"/>
              <w:bottom w:val="single" w:sz="6" w:space="0" w:color="000000"/>
              <w:right w:val="nil"/>
            </w:tcBorders>
            <w:tcMar>
              <w:top w:w="60" w:type="dxa"/>
              <w:left w:w="90" w:type="dxa"/>
              <w:bottom w:w="60" w:type="dxa"/>
              <w:right w:w="90" w:type="dxa"/>
            </w:tcMar>
            <w:hideMark/>
          </w:tcPr>
          <w:p w14:paraId="5CF65E23"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77,000,000,000</w:t>
            </w:r>
          </w:p>
        </w:tc>
        <w:tc>
          <w:tcPr>
            <w:tcW w:w="2126" w:type="dxa"/>
            <w:tcBorders>
              <w:top w:val="single" w:sz="6" w:space="0" w:color="000000"/>
              <w:left w:val="nil"/>
              <w:bottom w:val="single" w:sz="6" w:space="0" w:color="000000"/>
              <w:right w:val="nil"/>
            </w:tcBorders>
            <w:tcMar>
              <w:top w:w="60" w:type="dxa"/>
              <w:left w:w="90" w:type="dxa"/>
              <w:bottom w:w="60" w:type="dxa"/>
              <w:right w:w="90" w:type="dxa"/>
            </w:tcMar>
            <w:hideMark/>
          </w:tcPr>
          <w:p w14:paraId="72865BC6"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18,000,000,000</w:t>
            </w:r>
          </w:p>
        </w:tc>
      </w:tr>
      <w:tr w:rsidR="006E68E3" w:rsidRPr="006E68E3" w14:paraId="1725405B" w14:textId="77777777" w:rsidTr="006E68E3">
        <w:tc>
          <w:tcPr>
            <w:tcW w:w="712" w:type="dxa"/>
            <w:tcBorders>
              <w:top w:val="single" w:sz="6" w:space="0" w:color="000000"/>
              <w:left w:val="nil"/>
              <w:bottom w:val="single" w:sz="6" w:space="0" w:color="000000"/>
              <w:right w:val="nil"/>
            </w:tcBorders>
            <w:tcMar>
              <w:top w:w="60" w:type="dxa"/>
              <w:left w:w="90" w:type="dxa"/>
              <w:bottom w:w="60" w:type="dxa"/>
              <w:right w:w="90" w:type="dxa"/>
            </w:tcMar>
            <w:hideMark/>
          </w:tcPr>
          <w:p w14:paraId="4EA1D1B9"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2025</w:t>
            </w:r>
          </w:p>
        </w:tc>
        <w:tc>
          <w:tcPr>
            <w:tcW w:w="2549" w:type="dxa"/>
            <w:tcBorders>
              <w:top w:val="single" w:sz="6" w:space="0" w:color="000000"/>
              <w:left w:val="nil"/>
              <w:bottom w:val="single" w:sz="6" w:space="0" w:color="000000"/>
              <w:right w:val="nil"/>
            </w:tcBorders>
            <w:tcMar>
              <w:top w:w="60" w:type="dxa"/>
              <w:left w:w="90" w:type="dxa"/>
              <w:bottom w:w="60" w:type="dxa"/>
              <w:right w:w="90" w:type="dxa"/>
            </w:tcMar>
            <w:hideMark/>
          </w:tcPr>
          <w:p w14:paraId="30F79374"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151,830,755,644 (to 16,332 rights holders)</w:t>
            </w:r>
          </w:p>
        </w:tc>
        <w:tc>
          <w:tcPr>
            <w:tcW w:w="3118" w:type="dxa"/>
            <w:tcBorders>
              <w:top w:val="single" w:sz="6" w:space="0" w:color="000000"/>
              <w:left w:val="nil"/>
              <w:bottom w:val="single" w:sz="6" w:space="0" w:color="000000"/>
              <w:right w:val="nil"/>
            </w:tcBorders>
            <w:tcMar>
              <w:top w:w="60" w:type="dxa"/>
              <w:left w:w="90" w:type="dxa"/>
              <w:bottom w:w="60" w:type="dxa"/>
              <w:right w:w="90" w:type="dxa"/>
            </w:tcMar>
            <w:hideMark/>
          </w:tcPr>
          <w:p w14:paraId="24E09C8A"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77,883,213,363</w:t>
            </w:r>
          </w:p>
        </w:tc>
        <w:tc>
          <w:tcPr>
            <w:tcW w:w="2126" w:type="dxa"/>
            <w:tcBorders>
              <w:top w:val="single" w:sz="6" w:space="0" w:color="000000"/>
              <w:left w:val="nil"/>
              <w:bottom w:val="single" w:sz="6" w:space="0" w:color="000000"/>
              <w:right w:val="nil"/>
            </w:tcBorders>
            <w:tcMar>
              <w:top w:w="60" w:type="dxa"/>
              <w:left w:w="90" w:type="dxa"/>
              <w:bottom w:w="60" w:type="dxa"/>
              <w:right w:w="90" w:type="dxa"/>
            </w:tcMar>
            <w:hideMark/>
          </w:tcPr>
          <w:p w14:paraId="57E213FA" w14:textId="77777777" w:rsidR="006E68E3" w:rsidRPr="006E68E3" w:rsidRDefault="006E68E3" w:rsidP="006E68E3">
            <w:pPr>
              <w:spacing w:after="0"/>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included in total exceeding 200 billion</w:t>
            </w:r>
          </w:p>
        </w:tc>
      </w:tr>
    </w:tbl>
    <w:p w14:paraId="0B229111" w14:textId="77777777" w:rsidR="006E68E3" w:rsidRPr="006E68E3" w:rsidRDefault="006E68E3" w:rsidP="006E68E3">
      <w:pPr>
        <w:spacing w:before="80"/>
        <w:jc w:val="both"/>
        <w:rPr>
          <w:rFonts w:ascii="Cambria" w:eastAsia="Cambria" w:hAnsi="Cambria" w:cs="Times New Roman"/>
          <w:sz w:val="24"/>
          <w:szCs w:val="24"/>
          <w:lang w:val="en-AU" w:eastAsia="en-AU" w:bidi="ar-SA"/>
        </w:rPr>
      </w:pPr>
      <w:r w:rsidRPr="006E68E3">
        <w:rPr>
          <w:rFonts w:ascii="Cambria" w:eastAsia="Cambria" w:hAnsi="Cambria" w:cs="Times New Roman"/>
          <w:i/>
          <w:iCs/>
          <w:sz w:val="24"/>
          <w:szCs w:val="24"/>
          <w:lang w:val="en-AU" w:eastAsia="en-AU" w:bidi="ar-SA"/>
        </w:rPr>
        <w:t>Source: Processed from statistics published by the national collective management institution and the Directorate General of Intellectual Property, 2026. Figures marked as approximate were reported in rounded form by the institution; blank entries indicate that the series was not disaggregated in the published sources.</w:t>
      </w:r>
    </w:p>
    <w:p w14:paraId="482400E2" w14:textId="77777777" w:rsidR="006E68E3" w:rsidRPr="006E68E3" w:rsidRDefault="006E68E3" w:rsidP="006E68E3">
      <w:pPr>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xml:space="preserve">A single settlement of IDR 2,264,502,000 equals roughly 2.94 percent of everything collected from analogue commercial use nationally in 2024, and roughly 5.96 </w:t>
      </w:r>
      <w:r w:rsidRPr="006E68E3">
        <w:rPr>
          <w:rFonts w:ascii="Cambria" w:eastAsia="Cambria" w:hAnsi="Cambria" w:cs="Times New Roman"/>
          <w:sz w:val="24"/>
          <w:szCs w:val="24"/>
          <w:lang w:val="en-AU" w:eastAsia="en-AU" w:bidi="ar-SA"/>
        </w:rPr>
        <w:lastRenderedPageBreak/>
        <w:t>percent of what the complainant organisation itself contributed to that total.</w:t>
      </w:r>
      <w:r w:rsidRPr="006E68E3">
        <w:rPr>
          <w:rFonts w:ascii="Cambria" w:eastAsia="Cambria" w:hAnsi="Cambria" w:cs="Times New Roman"/>
          <w:sz w:val="24"/>
          <w:szCs w:val="24"/>
          <w:vertAlign w:val="superscript"/>
          <w:lang w:val="en-AU" w:eastAsia="en-AU" w:bidi="ar-SA"/>
        </w:rPr>
        <w:footnoteReference w:id="31"/>
      </w:r>
      <w:r w:rsidRPr="006E68E3">
        <w:rPr>
          <w:rFonts w:ascii="Cambria" w:eastAsia="Cambria" w:hAnsi="Cambria" w:cs="Times New Roman"/>
          <w:sz w:val="24"/>
          <w:szCs w:val="24"/>
          <w:lang w:val="en-AU" w:eastAsia="en-AU" w:bidi="ar-SA"/>
        </w:rPr>
        <w:t xml:space="preserve"> Read one way, that is a measure of the case’s significance. Read correctly, it is a measure of the system’s weakness: no functioning collection regime should be capable of moving its own national aggregate by three percent through one enforcement action against one chain of sixty-five outlets. The 2025 figures, which show collection exceeding IDR 200 billion in total and distribution of IDR 151.8 billion to 16,332 rights holders,</w:t>
      </w:r>
      <w:r w:rsidRPr="006E68E3">
        <w:rPr>
          <w:rFonts w:ascii="Cambria" w:eastAsia="Cambria" w:hAnsi="Cambria" w:cs="Times New Roman"/>
          <w:sz w:val="24"/>
          <w:szCs w:val="24"/>
          <w:vertAlign w:val="superscript"/>
          <w:lang w:val="en-AU" w:eastAsia="en-AU" w:bidi="ar-SA"/>
        </w:rPr>
        <w:footnoteReference w:id="32"/>
      </w:r>
      <w:r w:rsidRPr="006E68E3">
        <w:rPr>
          <w:rFonts w:ascii="Cambria" w:eastAsia="Cambria" w:hAnsi="Cambria" w:cs="Times New Roman"/>
          <w:sz w:val="24"/>
          <w:szCs w:val="24"/>
          <w:lang w:val="en-AU" w:eastAsia="en-AU" w:bidi="ar-SA"/>
        </w:rPr>
        <w:t xml:space="preserve"> confirm both that the system is capable of rapid growth once it is activated and that the base from which it grew was extremely low.</w:t>
      </w:r>
    </w:p>
    <w:p w14:paraId="2842B16C" w14:textId="5222DD01" w:rsidR="006E68E3" w:rsidRPr="006E68E3" w:rsidRDefault="006E68E3" w:rsidP="006E68E3">
      <w:pPr>
        <w:pStyle w:val="ListParagraph"/>
        <w:numPr>
          <w:ilvl w:val="0"/>
          <w:numId w:val="3"/>
        </w:numPr>
        <w:spacing w:before="220" w:after="120"/>
        <w:jc w:val="both"/>
        <w:outlineLvl w:val="1"/>
        <w:rPr>
          <w:rFonts w:ascii="Cambria" w:eastAsia="Cambria" w:hAnsi="Cambria" w:cs="Times New Roman"/>
          <w:color w:val="2E74B5"/>
          <w:sz w:val="24"/>
          <w:szCs w:val="24"/>
          <w:lang w:val="en-AU" w:eastAsia="en-AU" w:bidi="ar-SA"/>
        </w:rPr>
      </w:pPr>
      <w:r w:rsidRPr="006E68E3">
        <w:rPr>
          <w:rFonts w:ascii="Cambria" w:eastAsia="Cambria" w:hAnsi="Cambria" w:cs="Times New Roman"/>
          <w:b/>
          <w:bCs/>
          <w:color w:val="000000"/>
          <w:sz w:val="24"/>
          <w:szCs w:val="24"/>
          <w:lang w:val="en-AU" w:eastAsia="en-AU" w:bidi="ar-SA"/>
        </w:rPr>
        <w:t>Testing Effectiveness: Why Compliance Arrived Only After Criminalisation</w:t>
      </w:r>
    </w:p>
    <w:p w14:paraId="219D557A"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Applying the five factors of legal effectiveness to this record produces a diagnosis that is more precise than the familiar conclusion that awareness is low. On substance, the regime performs well: the obligation is explicit, the category is listed, the tariff is quantified, and the payment channel is designated. Substance is not the constraint, and the recurring recommendation that the rule be clarified therefore misdiagnoses the problem.</w:t>
      </w:r>
    </w:p>
    <w:p w14:paraId="2BE4E99C"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On the enforcement apparatus and on facilities, the regime performs poorly, and the two failures are connected. The collecting institution has no inspection right, no access to a verified seat register, and no administrative sanction. It has a self-assessment form and a telephone. The obligation is not linked to the business licensing system, so a company can obtain and renew its permits for years while accruing royalty debt without any administrative touchpoint disclosing the liability. The consequence is visible in the timeline: the only escalation available was a criminal complaint, which is to say the only rung above persuasion was the top of the ladder.</w:t>
      </w:r>
    </w:p>
    <w:p w14:paraId="07E2D9AC"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xml:space="preserve">On community and legal culture, the finding is that non-payment was normalised rather than chosen. The reconstruction in Table 2 shows an annual cost that no rational operator would incur criminal exposure to avoid. What sustained the breach was that nothing in the company’s operating environment made the obligation salient: no competitor was visibly paying, no licence renewal asked the question, no auditor flagged it. This is Friedman’s culture factor doing its work, and it explains why the reported cooperative conduct of the company after the settlement, including reporting new outlets and playlists, is more revealing than the </w:t>
      </w:r>
      <w:r w:rsidRPr="006E68E3">
        <w:rPr>
          <w:rFonts w:ascii="Cambria" w:eastAsia="Cambria" w:hAnsi="Cambria" w:cs="Times New Roman"/>
          <w:sz w:val="24"/>
          <w:szCs w:val="24"/>
          <w:lang w:val="en-AU" w:eastAsia="en-AU" w:bidi="ar-SA"/>
        </w:rPr>
        <w:lastRenderedPageBreak/>
        <w:t>payment itself.</w:t>
      </w:r>
      <w:r w:rsidRPr="006E68E3">
        <w:rPr>
          <w:rFonts w:ascii="Cambria" w:eastAsia="Cambria" w:hAnsi="Cambria" w:cs="Times New Roman"/>
          <w:sz w:val="24"/>
          <w:szCs w:val="24"/>
          <w:vertAlign w:val="superscript"/>
          <w:lang w:val="en-AU" w:eastAsia="en-AU" w:bidi="ar-SA"/>
        </w:rPr>
        <w:footnoteReference w:id="33"/>
      </w:r>
      <w:r w:rsidRPr="006E68E3">
        <w:rPr>
          <w:rFonts w:ascii="Cambria" w:eastAsia="Cambria" w:hAnsi="Cambria" w:cs="Times New Roman"/>
          <w:sz w:val="24"/>
          <w:szCs w:val="24"/>
          <w:lang w:val="en-AU" w:eastAsia="en-AU" w:bidi="ar-SA"/>
        </w:rPr>
        <w:t xml:space="preserve"> Once the obligation became salient, compliance followed without resistance.</w:t>
      </w:r>
    </w:p>
    <w:p w14:paraId="24C5405A" w14:textId="77777777" w:rsidR="006E68E3" w:rsidRPr="006E68E3" w:rsidRDefault="006E68E3" w:rsidP="006E68E3">
      <w:pPr>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The conclusion follows directly. Enforcement in this case was effective in the narrow sense that the economic right was restored in full and future compliance was secured, and ineffective in every sense that matters for a system, because the mechanism that produced the result is not available at scale. The criminal complaint functioned as what responsive regulation calls a benign big gun: a sanction whose value lies in credible availability.</w:t>
      </w:r>
      <w:r w:rsidRPr="006E68E3">
        <w:rPr>
          <w:rFonts w:ascii="Cambria" w:eastAsia="Cambria" w:hAnsi="Cambria" w:cs="Times New Roman"/>
          <w:sz w:val="24"/>
          <w:szCs w:val="24"/>
          <w:vertAlign w:val="superscript"/>
          <w:lang w:val="en-AU" w:eastAsia="en-AU" w:bidi="ar-SA"/>
        </w:rPr>
        <w:footnoteReference w:id="34"/>
      </w:r>
      <w:r w:rsidRPr="006E68E3">
        <w:rPr>
          <w:rFonts w:ascii="Cambria" w:eastAsia="Cambria" w:hAnsi="Cambria" w:cs="Times New Roman"/>
          <w:sz w:val="24"/>
          <w:szCs w:val="24"/>
          <w:lang w:val="en-AU" w:eastAsia="en-AU" w:bidi="ar-SA"/>
        </w:rPr>
        <w:t xml:space="preserve"> But a big gun that must be fired to work is not a deterrent; it is an event. Firing it once against a chain of sixty-five outlets moved the national aggregate by three percent, which is precisely why the model cannot be scaled to the hundreds of thousands of venues the regulation nominally covers.</w:t>
      </w:r>
    </w:p>
    <w:p w14:paraId="3E427E42" w14:textId="09CFFB24" w:rsidR="006E68E3" w:rsidRPr="006E68E3" w:rsidRDefault="006E68E3" w:rsidP="006E68E3">
      <w:pPr>
        <w:pStyle w:val="ListParagraph"/>
        <w:numPr>
          <w:ilvl w:val="0"/>
          <w:numId w:val="3"/>
        </w:numPr>
        <w:spacing w:before="220" w:after="120"/>
        <w:jc w:val="both"/>
        <w:outlineLvl w:val="1"/>
        <w:rPr>
          <w:rFonts w:ascii="Cambria" w:eastAsia="Cambria" w:hAnsi="Cambria" w:cs="Times New Roman"/>
          <w:color w:val="2E74B5"/>
          <w:sz w:val="24"/>
          <w:szCs w:val="24"/>
          <w:lang w:val="en-AU" w:eastAsia="en-AU" w:bidi="ar-SA"/>
        </w:rPr>
      </w:pPr>
      <w:r w:rsidRPr="006E68E3">
        <w:rPr>
          <w:rFonts w:ascii="Cambria" w:eastAsia="Cambria" w:hAnsi="Cambria" w:cs="Times New Roman"/>
          <w:b/>
          <w:bCs/>
          <w:color w:val="000000"/>
          <w:sz w:val="24"/>
          <w:szCs w:val="24"/>
          <w:lang w:val="en-AU" w:eastAsia="en-AU" w:bidi="ar-SA"/>
        </w:rPr>
        <w:t>Restorative Justice After Constitutional Court Decision 28/PUU-XXIII/2025</w:t>
      </w:r>
    </w:p>
    <w:p w14:paraId="17F28159"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At the time the case was closed, restorative justice in this field rested on ordinary criminal-procedure policy and on the mediation requirement in Article 95(4) of the Copyright Law, which obliges parties whose whereabouts are known to attempt mediation before a criminal prosecution is brought.</w:t>
      </w:r>
      <w:r w:rsidRPr="006E68E3">
        <w:rPr>
          <w:rFonts w:ascii="Cambria" w:eastAsia="Cambria" w:hAnsi="Cambria" w:cs="Times New Roman"/>
          <w:sz w:val="24"/>
          <w:szCs w:val="24"/>
          <w:vertAlign w:val="superscript"/>
          <w:lang w:val="en-AU" w:eastAsia="en-AU" w:bidi="ar-SA"/>
        </w:rPr>
        <w:footnoteReference w:id="35"/>
      </w:r>
      <w:r w:rsidRPr="006E68E3">
        <w:rPr>
          <w:rFonts w:ascii="Cambria" w:eastAsia="Cambria" w:hAnsi="Cambria" w:cs="Times New Roman"/>
          <w:sz w:val="24"/>
          <w:szCs w:val="24"/>
          <w:lang w:val="en-AU" w:eastAsia="en-AU" w:bidi="ar-SA"/>
        </w:rPr>
        <w:t xml:space="preserve"> Two months later the ground shifted. In Decision 28/PUU-XXIII/2025 the Constitutional Court held the phrase referencing letter f in Article 113(2) conditionally unconstitutional unless it is understood to mean that criminal sanctions are applied only after the principle of restorative justice has first been applied; it held that reasonable remuneration must be read as remuneration consistent with mechanisms and tariffs established by legislation; and it held that the person liable in a commercial performance includes the organiser of that performance.</w:t>
      </w:r>
      <w:r w:rsidRPr="006E68E3">
        <w:rPr>
          <w:rFonts w:ascii="Cambria" w:eastAsia="Cambria" w:hAnsi="Cambria" w:cs="Times New Roman"/>
          <w:sz w:val="24"/>
          <w:szCs w:val="24"/>
          <w:vertAlign w:val="superscript"/>
          <w:lang w:val="en-AU" w:eastAsia="en-AU" w:bidi="ar-SA"/>
        </w:rPr>
        <w:footnoteReference w:id="36"/>
      </w:r>
      <w:r w:rsidRPr="006E68E3">
        <w:rPr>
          <w:rFonts w:ascii="Cambria" w:eastAsia="Cambria" w:hAnsi="Cambria" w:cs="Times New Roman"/>
          <w:sz w:val="24"/>
          <w:szCs w:val="24"/>
          <w:lang w:val="en-AU" w:eastAsia="en-AU" w:bidi="ar-SA"/>
        </w:rPr>
        <w:t xml:space="preserve"> The Court reasoned that violations of economic rights should prioritise administrative and civil mechanisms over criminal ones, consistent with </w:t>
      </w:r>
      <w:proofErr w:type="spellStart"/>
      <w:r w:rsidRPr="006E68E3">
        <w:rPr>
          <w:rFonts w:ascii="Cambria" w:eastAsia="Cambria" w:hAnsi="Cambria" w:cs="Times New Roman"/>
          <w:i/>
          <w:iCs/>
          <w:sz w:val="24"/>
          <w:szCs w:val="24"/>
          <w:lang w:val="en-AU" w:eastAsia="en-AU" w:bidi="ar-SA"/>
        </w:rPr>
        <w:t>ultimum</w:t>
      </w:r>
      <w:proofErr w:type="spellEnd"/>
      <w:r w:rsidRPr="006E68E3">
        <w:rPr>
          <w:rFonts w:ascii="Cambria" w:eastAsia="Cambria" w:hAnsi="Cambria" w:cs="Times New Roman"/>
          <w:i/>
          <w:iCs/>
          <w:sz w:val="24"/>
          <w:szCs w:val="24"/>
          <w:lang w:val="en-AU" w:eastAsia="en-AU" w:bidi="ar-SA"/>
        </w:rPr>
        <w:t xml:space="preserve"> </w:t>
      </w:r>
      <w:proofErr w:type="spellStart"/>
      <w:r w:rsidRPr="006E68E3">
        <w:rPr>
          <w:rFonts w:ascii="Cambria" w:eastAsia="Cambria" w:hAnsi="Cambria" w:cs="Times New Roman"/>
          <w:i/>
          <w:iCs/>
          <w:sz w:val="24"/>
          <w:szCs w:val="24"/>
          <w:lang w:val="en-AU" w:eastAsia="en-AU" w:bidi="ar-SA"/>
        </w:rPr>
        <w:t>remedium</w:t>
      </w:r>
      <w:proofErr w:type="spellEnd"/>
      <w:r w:rsidRPr="006E68E3">
        <w:rPr>
          <w:rFonts w:ascii="Cambria" w:eastAsia="Cambria" w:hAnsi="Cambria" w:cs="Times New Roman"/>
          <w:sz w:val="24"/>
          <w:szCs w:val="24"/>
          <w:lang w:val="en-AU" w:eastAsia="en-AU" w:bidi="ar-SA"/>
        </w:rPr>
        <w:t>, and stated that where mediation and other non-litigation steps fail, administrative sanctions should precede criminal ones.</w:t>
      </w:r>
      <w:r w:rsidRPr="006E68E3">
        <w:rPr>
          <w:rFonts w:ascii="Cambria" w:eastAsia="Cambria" w:hAnsi="Cambria" w:cs="Times New Roman"/>
          <w:sz w:val="24"/>
          <w:szCs w:val="24"/>
          <w:vertAlign w:val="superscript"/>
          <w:lang w:val="en-AU" w:eastAsia="en-AU" w:bidi="ar-SA"/>
        </w:rPr>
        <w:footnoteReference w:id="37"/>
      </w:r>
      <w:r w:rsidRPr="006E68E3">
        <w:rPr>
          <w:rFonts w:ascii="Cambria" w:eastAsia="Cambria" w:hAnsi="Cambria" w:cs="Times New Roman"/>
          <w:sz w:val="24"/>
          <w:szCs w:val="24"/>
          <w:lang w:val="en-AU" w:eastAsia="en-AU" w:bidi="ar-SA"/>
        </w:rPr>
        <w:t xml:space="preserve"> A </w:t>
      </w:r>
      <w:r w:rsidRPr="006E68E3">
        <w:rPr>
          <w:rFonts w:ascii="Cambria" w:eastAsia="Cambria" w:hAnsi="Cambria" w:cs="Times New Roman"/>
          <w:sz w:val="24"/>
          <w:szCs w:val="24"/>
          <w:lang w:val="en-AU" w:eastAsia="en-AU" w:bidi="ar-SA"/>
        </w:rPr>
        <w:lastRenderedPageBreak/>
        <w:t>dissent argued that the Court should have issued guidance and pressed the legislature to restructure the statute rather than reinterpret it.</w:t>
      </w:r>
      <w:r w:rsidRPr="006E68E3">
        <w:rPr>
          <w:rFonts w:ascii="Cambria" w:eastAsia="Cambria" w:hAnsi="Cambria" w:cs="Times New Roman"/>
          <w:sz w:val="24"/>
          <w:szCs w:val="24"/>
          <w:vertAlign w:val="superscript"/>
          <w:lang w:val="en-AU" w:eastAsia="en-AU" w:bidi="ar-SA"/>
        </w:rPr>
        <w:footnoteReference w:id="38"/>
      </w:r>
    </w:p>
    <w:p w14:paraId="4D58DEDD"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Three consequences follow for the analysis, and they cut in different directions. First, the settlement is retrospectively vindicated in form. What in August 2025 looked like discretionary leniency, granted at ministerial prompting, is now the constitutionally required shape of the outcome; had the case run to trial, it would have been at odds with the framework that took effect four months later. Second, the constitutional reading of reasonable remuneration converts the tariff from a negotiating benchmark into the legal measure of the obligation, which retrospectively strengthens the reconstruction in Table 2: the settlement was defensible because it tracked the tariff, and a settlement that had departed from the tariff would now be exposed. Third, and least comfortably, the decision removes the very instrument that produced the outcome. If restorative justice must be attempted before criminal sanction, then the criminal complaint can no longer function as the opening move that brought the company to the table. The threat that generated the payment has been constitutionally deferred.</w:t>
      </w:r>
    </w:p>
    <w:p w14:paraId="656AB294"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This is the central tension the case now presents, and it is not resolved by observing that restorative justice is desirable. Restorative justice presupposes an offender who has been brought to account and who is motivated to repair.</w:t>
      </w:r>
      <w:r w:rsidRPr="006E68E3">
        <w:rPr>
          <w:rFonts w:ascii="Cambria" w:eastAsia="Cambria" w:hAnsi="Cambria" w:cs="Times New Roman"/>
          <w:sz w:val="24"/>
          <w:szCs w:val="24"/>
          <w:vertAlign w:val="superscript"/>
          <w:lang w:val="en-AU" w:eastAsia="en-AU" w:bidi="ar-SA"/>
        </w:rPr>
        <w:footnoteReference w:id="39"/>
      </w:r>
      <w:r w:rsidRPr="006E68E3">
        <w:rPr>
          <w:rFonts w:ascii="Cambria" w:eastAsia="Cambria" w:hAnsi="Cambria" w:cs="Times New Roman"/>
          <w:sz w:val="24"/>
          <w:szCs w:val="24"/>
          <w:lang w:val="en-AU" w:eastAsia="en-AU" w:bidi="ar-SA"/>
        </w:rPr>
        <w:t xml:space="preserve"> It works within a pyramid whose upper rungs are credible. Where the middle of the pyramid is empty, as it is here, mandating restoration before sanction does not restructure the ladder; it removes the top of it and leaves persuasion facing a party who has already spent three years ignoring persuasion. The decision is therefore best read as a mandate directed as much at the legislature and the executive as at investigators: it is coherent only if the administrative rung it presupposes is actually built.</w:t>
      </w:r>
      <w:r w:rsidRPr="006E68E3">
        <w:rPr>
          <w:rFonts w:ascii="Cambria" w:eastAsia="Cambria" w:hAnsi="Cambria" w:cs="Times New Roman"/>
          <w:sz w:val="24"/>
          <w:szCs w:val="24"/>
          <w:vertAlign w:val="superscript"/>
          <w:lang w:val="en-AU" w:eastAsia="en-AU" w:bidi="ar-SA"/>
        </w:rPr>
        <w:footnoteReference w:id="40"/>
      </w:r>
    </w:p>
    <w:p w14:paraId="4951BFFE" w14:textId="78A5CF89" w:rsidR="006E68E3" w:rsidRPr="006E68E3" w:rsidRDefault="006E68E3" w:rsidP="006E68E3">
      <w:pPr>
        <w:pStyle w:val="ListParagraph"/>
        <w:numPr>
          <w:ilvl w:val="0"/>
          <w:numId w:val="3"/>
        </w:numPr>
        <w:spacing w:before="220" w:after="120"/>
        <w:outlineLvl w:val="1"/>
        <w:rPr>
          <w:rFonts w:ascii="Cambria" w:eastAsia="Cambria" w:hAnsi="Cambria" w:cs="Times New Roman"/>
          <w:color w:val="2E74B5"/>
          <w:sz w:val="24"/>
          <w:szCs w:val="24"/>
          <w:lang w:val="en-AU" w:eastAsia="en-AU" w:bidi="ar-SA"/>
        </w:rPr>
      </w:pPr>
      <w:r w:rsidRPr="006E68E3">
        <w:rPr>
          <w:rFonts w:ascii="Cambria" w:eastAsia="Cambria" w:hAnsi="Cambria" w:cs="Times New Roman"/>
          <w:b/>
          <w:bCs/>
          <w:color w:val="000000"/>
          <w:sz w:val="24"/>
          <w:szCs w:val="24"/>
          <w:lang w:val="en-AU" w:eastAsia="en-AU" w:bidi="ar-SA"/>
        </w:rPr>
        <w:t>The Deterrence Deficit and Settlement-Driven Enforcement</w:t>
      </w:r>
    </w:p>
    <w:p w14:paraId="603F4026"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 xml:space="preserve">A model in which compliance is produced by episodic criminal exposure and resolved by negotiated payment carries three risks that the case makes visible. The first is selection. Criminal escalation is costly for the complainant, so it will be reserved for users whose recoverable debt justifies the effort, which means large, visible, urban chains. Small and medium venues, which constitute the overwhelming majority of licensable premises, will not be reached, and will correctly infer that the </w:t>
      </w:r>
      <w:r w:rsidRPr="006E68E3">
        <w:rPr>
          <w:rFonts w:ascii="Cambria" w:eastAsia="Cambria" w:hAnsi="Cambria" w:cs="Times New Roman"/>
          <w:sz w:val="24"/>
          <w:szCs w:val="24"/>
          <w:lang w:val="en-AU" w:eastAsia="en-AU" w:bidi="ar-SA"/>
        </w:rPr>
        <w:lastRenderedPageBreak/>
        <w:t>obligation is nominal for them. Enforcement that is rational at the level of the individual case is therefore regressive at the level of the system.</w:t>
      </w:r>
    </w:p>
    <w:p w14:paraId="6506F235" w14:textId="77777777"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The second risk is that settlement erases the deterrent signal it depends on. Because the settlement discharged the debt at tariff, non-compliance became, in economic terms, an interest-free deferral: the company paid in 2025 what it should have paid from 2022, with no premium for the delay, plus incidental costs. For a rational operator observing from outside, the lesson is that waiting is cheap and paying early is optional. This is the classic weakness of restorative settlement in economic offences, and it is why the Court’s insistence that administrative sanctions should precede criminal ones is the operative part of its reasoning rather than an aside; an administrative surcharge is exactly the instrument that would make delay costly without criminalising it.</w:t>
      </w:r>
    </w:p>
    <w:p w14:paraId="3783F28F" w14:textId="5C55DCDD" w:rsidR="006E68E3" w:rsidRPr="006E68E3" w:rsidRDefault="006E68E3" w:rsidP="006E68E3">
      <w:pPr>
        <w:spacing w:after="120"/>
        <w:jc w:val="both"/>
        <w:rPr>
          <w:rFonts w:ascii="Cambria" w:eastAsia="Cambria" w:hAnsi="Cambria" w:cs="Times New Roman"/>
          <w:sz w:val="24"/>
          <w:szCs w:val="24"/>
          <w:lang w:val="en-AU" w:eastAsia="en-AU" w:bidi="ar-SA"/>
        </w:rPr>
      </w:pPr>
      <w:r w:rsidRPr="006E68E3">
        <w:rPr>
          <w:rFonts w:ascii="Cambria" w:eastAsia="Cambria" w:hAnsi="Cambria" w:cs="Times New Roman"/>
          <w:sz w:val="24"/>
          <w:szCs w:val="24"/>
          <w:lang w:val="en-AU" w:eastAsia="en-AU" w:bidi="ar-SA"/>
        </w:rPr>
        <w:t>The third risk is that publicity, not law, becomes the enforcement mechanism. The reputational exposure generated by the investigation almost certainly exceeded the financial exposure, and the presence of the Minister at the signing converted a private settlement into a national message.</w:t>
      </w:r>
      <w:r w:rsidRPr="006E68E3">
        <w:rPr>
          <w:rFonts w:ascii="Cambria" w:eastAsia="Cambria" w:hAnsi="Cambria" w:cs="Times New Roman"/>
          <w:sz w:val="24"/>
          <w:szCs w:val="24"/>
          <w:vertAlign w:val="superscript"/>
          <w:lang w:val="en-AU" w:eastAsia="en-AU" w:bidi="ar-SA"/>
        </w:rPr>
        <w:footnoteReference w:id="41"/>
      </w:r>
      <w:r w:rsidRPr="006E68E3">
        <w:rPr>
          <w:rFonts w:ascii="Cambria" w:eastAsia="Cambria" w:hAnsi="Cambria" w:cs="Times New Roman"/>
          <w:sz w:val="24"/>
          <w:szCs w:val="24"/>
          <w:lang w:val="en-AU" w:eastAsia="en-AU" w:bidi="ar-SA"/>
        </w:rPr>
        <w:t xml:space="preserve"> Enforcement by publicity is fast, but it is inconsistent, it depends on media interest rather than on breach, and it produces compliance in proportion to visibility rather than culpability. The subsequent Circular Letter of December 2025, which expressly names restaurants, cafés, hotels, shopping centres, and transport operators as commercial users,</w:t>
      </w:r>
      <w:r w:rsidRPr="006E68E3">
        <w:rPr>
          <w:rFonts w:ascii="Cambria" w:eastAsia="Cambria" w:hAnsi="Cambria" w:cs="Times New Roman"/>
          <w:sz w:val="24"/>
          <w:szCs w:val="24"/>
          <w:vertAlign w:val="superscript"/>
          <w:lang w:val="en-AU" w:eastAsia="en-AU" w:bidi="ar-SA"/>
        </w:rPr>
        <w:footnoteReference w:id="42"/>
      </w:r>
      <w:r w:rsidRPr="006E68E3">
        <w:rPr>
          <w:rFonts w:ascii="Cambria" w:eastAsia="Cambria" w:hAnsi="Cambria" w:cs="Times New Roman"/>
          <w:sz w:val="24"/>
          <w:szCs w:val="24"/>
          <w:lang w:val="en-AU" w:eastAsia="en-AU" w:bidi="ar-SA"/>
        </w:rPr>
        <w:t xml:space="preserve"> should be read in this light: it is an attempt to convert an episode into a systematic programme. Whether it succeeds depends on whether it is accompanied by the administrative infrastructure the episode revealed to be missing</w:t>
      </w:r>
      <w:r w:rsidRPr="006E68E3">
        <w:rPr>
          <w:rFonts w:ascii="Cambria" w:eastAsia="Cambria" w:hAnsi="Cambria" w:cs="Times New Roman"/>
          <w:sz w:val="24"/>
          <w:szCs w:val="24"/>
          <w:lang w:val="en-ID" w:eastAsia="en-ID" w:bidi="ar-SA"/>
        </w:rPr>
        <w:t xml:space="preserve"> </w:t>
      </w:r>
    </w:p>
    <w:p w14:paraId="5575A0C5" w14:textId="06EF4992" w:rsidR="00A90240" w:rsidRPr="00621443" w:rsidRDefault="00A90240" w:rsidP="00621443">
      <w:pPr>
        <w:jc w:val="both"/>
        <w:rPr>
          <w:rFonts w:ascii="Cambria" w:hAnsi="Cambria"/>
          <w:sz w:val="24"/>
          <w:szCs w:val="32"/>
        </w:rPr>
      </w:pPr>
    </w:p>
    <w:p w14:paraId="1CA57D89" w14:textId="77777777" w:rsidR="00A90240" w:rsidRDefault="00000000" w:rsidP="00C626FA">
      <w:pPr>
        <w:pStyle w:val="Heading1"/>
        <w:spacing w:line="240" w:lineRule="auto"/>
        <w:jc w:val="center"/>
        <w:rPr>
          <w:rFonts w:ascii="Cambria" w:eastAsia="EB Garamond" w:hAnsi="Cambria" w:cs="EB Garamond"/>
          <w:b/>
          <w:color w:val="215B57"/>
        </w:rPr>
      </w:pPr>
      <w:r>
        <w:rPr>
          <w:rFonts w:ascii="Cambria" w:eastAsia="EB Garamond" w:hAnsi="Cambria" w:cs="EB Garamond"/>
          <w:b/>
          <w:color w:val="215B57"/>
        </w:rPr>
        <w:t>Conclusion</w:t>
      </w:r>
    </w:p>
    <w:p w14:paraId="127976DA" w14:textId="77777777" w:rsidR="00C16486" w:rsidRPr="00C16486" w:rsidRDefault="00C16486" w:rsidP="00C16486">
      <w:pPr>
        <w:jc w:val="both"/>
        <w:rPr>
          <w:rFonts w:ascii="Cambria" w:eastAsia="EB Garamond" w:hAnsi="Cambria" w:cs="EB Garamond"/>
          <w:color w:val="000000"/>
          <w:sz w:val="24"/>
          <w:szCs w:val="24"/>
          <w:lang w:val="en-AU"/>
        </w:rPr>
      </w:pPr>
      <w:r w:rsidRPr="00C16486">
        <w:rPr>
          <w:rFonts w:ascii="Cambria" w:eastAsia="EB Garamond" w:hAnsi="Cambria" w:cs="EB Garamond"/>
          <w:color w:val="000000"/>
          <w:sz w:val="24"/>
          <w:szCs w:val="24"/>
          <w:lang w:val="en-AU"/>
        </w:rPr>
        <w:t xml:space="preserve">The enforcement of music royalties against a national restaurant chain succeeded in restoring the economic right in full and in securing prospective compliance, and it did so through a mechanism that cannot be repeated at the scale the regulation contemplates. Three years of persuasion produced nothing; four months of criminal exposure produced payment of IDR 2,264,502,000 across sixty-five outlets. Reconstructed against the statutory tariff of IDR 120,000 per seat per year, that sum implies roughly seventy-three to ninety-seven chargeable seats per outlet and an annual obligation of between eight and twelve million rupiah per outlet, an amount too small to make evasion rational. The breach is therefore best explained by legal culture and by a collection architecture that made the obligation invisible, not by </w:t>
      </w:r>
      <w:r w:rsidRPr="00C16486">
        <w:rPr>
          <w:rFonts w:ascii="Cambria" w:eastAsia="EB Garamond" w:hAnsi="Cambria" w:cs="EB Garamond"/>
          <w:color w:val="000000"/>
          <w:sz w:val="24"/>
          <w:szCs w:val="24"/>
          <w:lang w:val="en-AU"/>
        </w:rPr>
        <w:lastRenderedPageBreak/>
        <w:t>calculated resistance. That a single case moved close to three percent of national analogue collections is not a measure of the case; it is a measure of how little the system collects.</w:t>
      </w:r>
    </w:p>
    <w:p w14:paraId="58D135DA" w14:textId="77777777" w:rsidR="00C16486" w:rsidRPr="00C16486" w:rsidRDefault="00C16486" w:rsidP="00C16486">
      <w:pPr>
        <w:jc w:val="both"/>
        <w:rPr>
          <w:rFonts w:ascii="Cambria" w:eastAsia="EB Garamond" w:hAnsi="Cambria" w:cs="EB Garamond"/>
          <w:color w:val="000000"/>
          <w:sz w:val="24"/>
          <w:szCs w:val="24"/>
          <w:lang w:val="en-AU"/>
        </w:rPr>
      </w:pPr>
      <w:r w:rsidRPr="00C16486">
        <w:rPr>
          <w:rFonts w:ascii="Cambria" w:eastAsia="EB Garamond" w:hAnsi="Cambria" w:cs="EB Garamond"/>
          <w:color w:val="000000"/>
          <w:sz w:val="24"/>
          <w:szCs w:val="24"/>
          <w:lang w:val="en-AU"/>
        </w:rPr>
        <w:t>The Constitutional Court’s decision of 17 December 2025 has changed the standing of the settlement model rather than merely endorsing it. Restorative justice is now a constitutional condition on the use of criminal sanction in this field, and reasonable remuneration is now legally tied to the tariff. Both developments vindicate the shape of the settlement. But the same decision withdraws the instrument that produced it, and it does so in a regime that has no administrative rung between a demand letter and a police report. The model is therefore replicable in form and not in force. It will remain just only if the administrative sanction the Court presupposed is actually enacted; without it, enforcement will continue to reach the largest and most visible users and to leave the rest untouched, which is a poor foundation for a system that claims to protect creators generally.</w:t>
      </w:r>
    </w:p>
    <w:p w14:paraId="4C76FD3B" w14:textId="6D0BCFEC" w:rsidR="00A90240" w:rsidRDefault="00C16486" w:rsidP="00C16486">
      <w:pPr>
        <w:jc w:val="both"/>
        <w:rPr>
          <w:rFonts w:ascii="Cambria" w:eastAsia="EB Garamond" w:hAnsi="Cambria" w:cs="EB Garamond"/>
          <w:color w:val="000000"/>
          <w:sz w:val="24"/>
          <w:szCs w:val="24"/>
        </w:rPr>
      </w:pPr>
      <w:r w:rsidRPr="00C16486">
        <w:rPr>
          <w:rFonts w:ascii="Cambria" w:eastAsia="EB Garamond" w:hAnsi="Cambria" w:cs="EB Garamond"/>
          <w:color w:val="000000"/>
          <w:sz w:val="24"/>
          <w:szCs w:val="24"/>
          <w:lang w:val="en-AU"/>
        </w:rPr>
        <w:t>What follows is not a call for harsher penalties. It is a call to build the middle of the pyramid: to link royalty compliance to business licensing so that the obligation announces itself, to legislate a surcharge that makes delay costly without criminalising it, and to give the collecting institution the audit capacity that self-assessment presupposes. Until then, the case will be remembered as the moment the obligation became visible, rather than as the moment it became effective</w:t>
      </w:r>
    </w:p>
    <w:p w14:paraId="7CE48F97" w14:textId="77777777" w:rsidR="00653E1C" w:rsidRDefault="00653E1C" w:rsidP="00621443">
      <w:pPr>
        <w:jc w:val="both"/>
        <w:rPr>
          <w:rFonts w:ascii="Cambria" w:eastAsia="EB Garamond" w:hAnsi="Cambria" w:cs="EB Garamond"/>
          <w:color w:val="000000"/>
          <w:sz w:val="24"/>
          <w:szCs w:val="24"/>
        </w:rPr>
      </w:pPr>
    </w:p>
    <w:p w14:paraId="0BDD94A8" w14:textId="38CBC8C8" w:rsidR="00A90240" w:rsidRPr="00621443" w:rsidRDefault="00000000" w:rsidP="00621443">
      <w:pPr>
        <w:spacing w:before="120" w:after="0"/>
        <w:jc w:val="center"/>
        <w:rPr>
          <w:rFonts w:ascii="Cambria" w:eastAsia="EB Garamond" w:hAnsi="Cambria" w:cs="EB Garamond"/>
          <w:b/>
          <w:bCs/>
          <w:iCs/>
          <w:color w:val="215B57"/>
          <w:sz w:val="28"/>
        </w:rPr>
      </w:pPr>
      <w:r w:rsidRPr="00621443">
        <w:rPr>
          <w:rFonts w:ascii="Cambria" w:eastAsia="EB Garamond" w:hAnsi="Cambria" w:cs="EB Garamond"/>
          <w:b/>
          <w:bCs/>
          <w:iCs/>
          <w:color w:val="215B57"/>
          <w:sz w:val="28"/>
        </w:rPr>
        <w:t>Reference</w:t>
      </w:r>
      <w:r w:rsidR="00621443" w:rsidRPr="00621443">
        <w:rPr>
          <w:rFonts w:ascii="Cambria" w:eastAsia="EB Garamond" w:hAnsi="Cambria" w:cs="EB Garamond"/>
          <w:b/>
          <w:bCs/>
          <w:iCs/>
          <w:color w:val="215B57"/>
          <w:sz w:val="28"/>
        </w:rPr>
        <w:t>s</w:t>
      </w:r>
    </w:p>
    <w:p w14:paraId="6B515608" w14:textId="77777777" w:rsidR="00A90240" w:rsidRPr="00C626FA" w:rsidRDefault="00000000" w:rsidP="00621443">
      <w:pPr>
        <w:spacing w:before="240" w:after="0" w:line="240" w:lineRule="auto"/>
        <w:jc w:val="center"/>
        <w:rPr>
          <w:rFonts w:ascii="Cambria" w:eastAsia="EB Garamond" w:hAnsi="Cambria" w:cs="EB Garamond"/>
          <w:b/>
          <w:color w:val="215B57"/>
          <w:sz w:val="28"/>
        </w:rPr>
      </w:pPr>
      <w:r w:rsidRPr="00C626FA">
        <w:rPr>
          <w:rFonts w:ascii="Cambria" w:eastAsia="EB Garamond" w:hAnsi="Cambria" w:cs="EB Garamond"/>
          <w:b/>
          <w:bCs/>
          <w:color w:val="215B57"/>
          <w:szCs w:val="22"/>
        </w:rPr>
        <w:t>Statute</w:t>
      </w:r>
    </w:p>
    <w:p w14:paraId="18F39D31"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Constitutional Court of the Republic of Indonesia. </w:t>
      </w:r>
      <w:r w:rsidRPr="00C16486">
        <w:rPr>
          <w:rFonts w:ascii="Times New Roman" w:eastAsia="Cambria" w:hAnsi="Times New Roman" w:cs="Times New Roman"/>
          <w:i/>
          <w:iCs/>
          <w:sz w:val="24"/>
          <w:szCs w:val="24"/>
          <w:lang w:val="en-AU" w:eastAsia="en-AU" w:bidi="ar-SA"/>
        </w:rPr>
        <w:t>Decision Number 28/PUU-XXIII/2025</w:t>
      </w:r>
      <w:r w:rsidRPr="00C16486">
        <w:rPr>
          <w:rFonts w:ascii="Times New Roman" w:eastAsia="Cambria" w:hAnsi="Times New Roman" w:cs="Times New Roman"/>
          <w:sz w:val="24"/>
          <w:szCs w:val="24"/>
          <w:lang w:val="en-AU" w:eastAsia="en-AU" w:bidi="ar-SA"/>
        </w:rPr>
        <w:t>. Pronounced 17 December 2025.</w:t>
      </w:r>
    </w:p>
    <w:p w14:paraId="54E2218A"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Constitutional Court of the Republic of Indonesia. </w:t>
      </w:r>
      <w:r w:rsidRPr="00C16486">
        <w:rPr>
          <w:rFonts w:ascii="Times New Roman" w:eastAsia="Cambria" w:hAnsi="Times New Roman" w:cs="Times New Roman"/>
          <w:i/>
          <w:iCs/>
          <w:sz w:val="24"/>
          <w:szCs w:val="24"/>
          <w:lang w:val="en-AU" w:eastAsia="en-AU" w:bidi="ar-SA"/>
        </w:rPr>
        <w:t>Decision Number 37/PUU-XXIII/2025</w:t>
      </w:r>
      <w:r w:rsidRPr="00C16486">
        <w:rPr>
          <w:rFonts w:ascii="Times New Roman" w:eastAsia="Cambria" w:hAnsi="Times New Roman" w:cs="Times New Roman"/>
          <w:sz w:val="24"/>
          <w:szCs w:val="24"/>
          <w:lang w:val="en-AU" w:eastAsia="en-AU" w:bidi="ar-SA"/>
        </w:rPr>
        <w:t>. Pronounced 17 December 2025.</w:t>
      </w:r>
    </w:p>
    <w:p w14:paraId="022D8294"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Director General of Intellectual Property. </w:t>
      </w:r>
      <w:r w:rsidRPr="00C16486">
        <w:rPr>
          <w:rFonts w:ascii="Times New Roman" w:eastAsia="Cambria" w:hAnsi="Times New Roman" w:cs="Times New Roman"/>
          <w:i/>
          <w:iCs/>
          <w:sz w:val="24"/>
          <w:szCs w:val="24"/>
          <w:lang w:val="en-AU" w:eastAsia="en-AU" w:bidi="ar-SA"/>
        </w:rPr>
        <w:t>Circular Letter Number HKI-92.KI.01.04 of 2025 on the Obligation to Pay Song and/or Music Royalties in Commercial Public Spaces</w:t>
      </w:r>
      <w:r w:rsidRPr="00C16486">
        <w:rPr>
          <w:rFonts w:ascii="Times New Roman" w:eastAsia="Cambria" w:hAnsi="Times New Roman" w:cs="Times New Roman"/>
          <w:sz w:val="24"/>
          <w:szCs w:val="24"/>
          <w:lang w:val="en-AU" w:eastAsia="en-AU" w:bidi="ar-SA"/>
        </w:rPr>
        <w:t>. Jakarta: Ministry of Law, 2025.</w:t>
      </w:r>
    </w:p>
    <w:p w14:paraId="26F71A45"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Minister of Law and Human Rights of the Republic of Indonesia. </w:t>
      </w:r>
      <w:r w:rsidRPr="00C16486">
        <w:rPr>
          <w:rFonts w:ascii="Times New Roman" w:eastAsia="Cambria" w:hAnsi="Times New Roman" w:cs="Times New Roman"/>
          <w:i/>
          <w:iCs/>
          <w:sz w:val="24"/>
          <w:szCs w:val="24"/>
          <w:lang w:val="en-AU" w:eastAsia="en-AU" w:bidi="ar-SA"/>
        </w:rPr>
        <w:t>Decree Number HKI.2.OT.03.01-02 of 2016 on the Ratification of Royalty Tariffs for Users Making Commercial Use of Works and/or Related Rights Products of Music and Songs</w:t>
      </w:r>
      <w:r w:rsidRPr="00C16486">
        <w:rPr>
          <w:rFonts w:ascii="Times New Roman" w:eastAsia="Cambria" w:hAnsi="Times New Roman" w:cs="Times New Roman"/>
          <w:sz w:val="24"/>
          <w:szCs w:val="24"/>
          <w:lang w:val="en-AU" w:eastAsia="en-AU" w:bidi="ar-SA"/>
        </w:rPr>
        <w:t>. Jakarta, 2016.</w:t>
      </w:r>
    </w:p>
    <w:p w14:paraId="70B78CE0"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lastRenderedPageBreak/>
        <w:t xml:space="preserve">Minister of Law of the Republic of Indonesia. </w:t>
      </w:r>
      <w:r w:rsidRPr="00C16486">
        <w:rPr>
          <w:rFonts w:ascii="Times New Roman" w:eastAsia="Cambria" w:hAnsi="Times New Roman" w:cs="Times New Roman"/>
          <w:i/>
          <w:iCs/>
          <w:sz w:val="24"/>
          <w:szCs w:val="24"/>
          <w:lang w:val="en-AU" w:eastAsia="en-AU" w:bidi="ar-SA"/>
        </w:rPr>
        <w:t>Regulation Number 27 of 2025 on the Implementing Regulation of Government Regulation Number 56 of 2021 on the Management of Song and/or Music Copyright Royalties</w:t>
      </w:r>
      <w:r w:rsidRPr="00C16486">
        <w:rPr>
          <w:rFonts w:ascii="Times New Roman" w:eastAsia="Cambria" w:hAnsi="Times New Roman" w:cs="Times New Roman"/>
          <w:sz w:val="24"/>
          <w:szCs w:val="24"/>
          <w:lang w:val="en-AU" w:eastAsia="en-AU" w:bidi="ar-SA"/>
        </w:rPr>
        <w:t>. Jakarta, 2025.</w:t>
      </w:r>
    </w:p>
    <w:p w14:paraId="02C0BA90" w14:textId="77777777" w:rsid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Republic of Indonesia. </w:t>
      </w:r>
      <w:r w:rsidRPr="00C16486">
        <w:rPr>
          <w:rFonts w:ascii="Times New Roman" w:eastAsia="Cambria" w:hAnsi="Times New Roman" w:cs="Times New Roman"/>
          <w:i/>
          <w:iCs/>
          <w:sz w:val="24"/>
          <w:szCs w:val="24"/>
          <w:lang w:val="en-AU" w:eastAsia="en-AU" w:bidi="ar-SA"/>
        </w:rPr>
        <w:t>Government Regulation Number 56 of 2021 on the Management of Song and/or Music Copyright Royalties</w:t>
      </w:r>
      <w:r w:rsidRPr="00C16486">
        <w:rPr>
          <w:rFonts w:ascii="Times New Roman" w:eastAsia="Cambria" w:hAnsi="Times New Roman" w:cs="Times New Roman"/>
          <w:sz w:val="24"/>
          <w:szCs w:val="24"/>
          <w:lang w:val="en-AU" w:eastAsia="en-AU" w:bidi="ar-SA"/>
        </w:rPr>
        <w:t>. State Gazette of 2021 Number 86, Supplement Number 6664.</w:t>
      </w:r>
    </w:p>
    <w:p w14:paraId="47DAF2E0" w14:textId="207E889E" w:rsid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Republic of Indonesia. </w:t>
      </w:r>
      <w:r w:rsidRPr="00C16486">
        <w:rPr>
          <w:rFonts w:ascii="Times New Roman" w:eastAsia="Cambria" w:hAnsi="Times New Roman" w:cs="Times New Roman"/>
          <w:i/>
          <w:iCs/>
          <w:sz w:val="24"/>
          <w:szCs w:val="24"/>
          <w:lang w:val="en-AU" w:eastAsia="en-AU" w:bidi="ar-SA"/>
        </w:rPr>
        <w:t>Law Number 28 of 2014 on Copyright</w:t>
      </w:r>
      <w:r w:rsidRPr="00C16486">
        <w:rPr>
          <w:rFonts w:ascii="Times New Roman" w:eastAsia="Cambria" w:hAnsi="Times New Roman" w:cs="Times New Roman"/>
          <w:sz w:val="24"/>
          <w:szCs w:val="24"/>
          <w:lang w:val="en-AU" w:eastAsia="en-AU" w:bidi="ar-SA"/>
        </w:rPr>
        <w:t>. State Gazette of 2014 Number 266, Supplement Number 5599</w:t>
      </w:r>
      <w:r>
        <w:rPr>
          <w:rFonts w:ascii="Times New Roman" w:eastAsia="Cambria" w:hAnsi="Times New Roman" w:cs="Times New Roman"/>
          <w:sz w:val="24"/>
          <w:szCs w:val="24"/>
          <w:lang w:val="en-AU" w:eastAsia="en-AU" w:bidi="ar-SA"/>
        </w:rPr>
        <w:t>/</w:t>
      </w:r>
    </w:p>
    <w:p w14:paraId="21FE89FD" w14:textId="680B7992" w:rsidR="00C16486" w:rsidRPr="00C16486" w:rsidRDefault="00C16486" w:rsidP="00C16486">
      <w:pPr>
        <w:spacing w:before="240" w:after="100" w:line="360" w:lineRule="auto"/>
        <w:ind w:left="720" w:hanging="436"/>
        <w:jc w:val="center"/>
        <w:rPr>
          <w:rFonts w:ascii="Cambria" w:eastAsia="EB Garamond" w:hAnsi="Cambria" w:cs="EB Garamond"/>
          <w:b/>
          <w:bCs/>
          <w:color w:val="215B57"/>
          <w:szCs w:val="22"/>
          <w:lang w:val="fi-FI"/>
        </w:rPr>
      </w:pPr>
      <w:proofErr w:type="spellStart"/>
      <w:r w:rsidRPr="00C16486">
        <w:rPr>
          <w:rFonts w:ascii="Cambria" w:eastAsia="EB Garamond" w:hAnsi="Cambria" w:cs="EB Garamond"/>
          <w:b/>
          <w:bCs/>
          <w:color w:val="215B57"/>
          <w:szCs w:val="22"/>
          <w:lang w:val="fi-FI"/>
        </w:rPr>
        <w:t>Book</w:t>
      </w:r>
      <w:proofErr w:type="spellEnd"/>
      <w:r w:rsidRPr="00C16486">
        <w:rPr>
          <w:rFonts w:ascii="Cambria" w:eastAsia="EB Garamond" w:hAnsi="Cambria" w:cs="EB Garamond"/>
          <w:b/>
          <w:bCs/>
          <w:color w:val="215B57"/>
          <w:szCs w:val="22"/>
          <w:lang w:val="fi-FI"/>
        </w:rPr>
        <w:t>:</w:t>
      </w:r>
    </w:p>
    <w:p w14:paraId="2C0DEF2E"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r w:rsidRPr="00C16486">
        <w:rPr>
          <w:rFonts w:ascii="Times New Roman" w:eastAsia="Cambria" w:hAnsi="Times New Roman" w:cs="Times New Roman"/>
          <w:sz w:val="24"/>
          <w:szCs w:val="24"/>
          <w:lang w:val="fi-FI" w:eastAsia="en-AU" w:bidi="ar-SA"/>
        </w:rPr>
        <w:t xml:space="preserve">Ali, </w:t>
      </w:r>
      <w:proofErr w:type="spellStart"/>
      <w:r w:rsidRPr="00C16486">
        <w:rPr>
          <w:rFonts w:ascii="Times New Roman" w:eastAsia="Cambria" w:hAnsi="Times New Roman" w:cs="Times New Roman"/>
          <w:sz w:val="24"/>
          <w:szCs w:val="24"/>
          <w:lang w:val="fi-FI" w:eastAsia="en-AU" w:bidi="ar-SA"/>
        </w:rPr>
        <w:t>Zainuddin</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Metode</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Penelitian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Hukum</w:t>
      </w:r>
      <w:proofErr w:type="spellEnd"/>
      <w:r w:rsidRPr="00C16486">
        <w:rPr>
          <w:rFonts w:ascii="Times New Roman" w:eastAsia="Cambria" w:hAnsi="Times New Roman" w:cs="Times New Roman"/>
          <w:sz w:val="24"/>
          <w:szCs w:val="24"/>
          <w:lang w:val="fi-FI" w:eastAsia="en-AU" w:bidi="ar-SA"/>
        </w:rPr>
        <w:t xml:space="preserve">. Jakarta: </w:t>
      </w:r>
      <w:proofErr w:type="spellStart"/>
      <w:r w:rsidRPr="00C16486">
        <w:rPr>
          <w:rFonts w:ascii="Times New Roman" w:eastAsia="Cambria" w:hAnsi="Times New Roman" w:cs="Times New Roman"/>
          <w:sz w:val="24"/>
          <w:szCs w:val="24"/>
          <w:lang w:val="fi-FI" w:eastAsia="en-AU" w:bidi="ar-SA"/>
        </w:rPr>
        <w:t>Sinar</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Grafika</w:t>
      </w:r>
      <w:proofErr w:type="spellEnd"/>
      <w:r w:rsidRPr="00C16486">
        <w:rPr>
          <w:rFonts w:ascii="Times New Roman" w:eastAsia="Cambria" w:hAnsi="Times New Roman" w:cs="Times New Roman"/>
          <w:sz w:val="24"/>
          <w:szCs w:val="24"/>
          <w:lang w:val="fi-FI" w:eastAsia="en-AU" w:bidi="ar-SA"/>
        </w:rPr>
        <w:t>, 2021.</w:t>
      </w:r>
    </w:p>
    <w:p w14:paraId="2D9D875C"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Ayres, Ian, and John Braithwaite. </w:t>
      </w:r>
      <w:r w:rsidRPr="00C16486">
        <w:rPr>
          <w:rFonts w:ascii="Times New Roman" w:eastAsia="Cambria" w:hAnsi="Times New Roman" w:cs="Times New Roman"/>
          <w:i/>
          <w:iCs/>
          <w:sz w:val="24"/>
          <w:szCs w:val="24"/>
          <w:lang w:val="en-AU" w:eastAsia="en-AU" w:bidi="ar-SA"/>
        </w:rPr>
        <w:t>Responsive Regulation: Transcending the Deregulation Debate</w:t>
      </w:r>
      <w:r w:rsidRPr="00C16486">
        <w:rPr>
          <w:rFonts w:ascii="Times New Roman" w:eastAsia="Cambria" w:hAnsi="Times New Roman" w:cs="Times New Roman"/>
          <w:sz w:val="24"/>
          <w:szCs w:val="24"/>
          <w:lang w:val="en-AU" w:eastAsia="en-AU" w:bidi="ar-SA"/>
        </w:rPr>
        <w:t>. New York: Oxford University Press, 1992.</w:t>
      </w:r>
    </w:p>
    <w:p w14:paraId="0F5EB17C"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Braithwaite, John. </w:t>
      </w:r>
      <w:r w:rsidRPr="00C16486">
        <w:rPr>
          <w:rFonts w:ascii="Times New Roman" w:eastAsia="Cambria" w:hAnsi="Times New Roman" w:cs="Times New Roman"/>
          <w:i/>
          <w:iCs/>
          <w:sz w:val="24"/>
          <w:szCs w:val="24"/>
          <w:lang w:val="en-AU" w:eastAsia="en-AU" w:bidi="ar-SA"/>
        </w:rPr>
        <w:t>Crime, Shame and Reintegration</w:t>
      </w:r>
      <w:r w:rsidRPr="00C16486">
        <w:rPr>
          <w:rFonts w:ascii="Times New Roman" w:eastAsia="Cambria" w:hAnsi="Times New Roman" w:cs="Times New Roman"/>
          <w:sz w:val="24"/>
          <w:szCs w:val="24"/>
          <w:lang w:val="en-AU" w:eastAsia="en-AU" w:bidi="ar-SA"/>
        </w:rPr>
        <w:t>. Cambridge: Cambridge University Press, 1989.</w:t>
      </w:r>
    </w:p>
    <w:p w14:paraId="3ECBAC73"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Friedman, Lawrence M. </w:t>
      </w:r>
      <w:r w:rsidRPr="00C16486">
        <w:rPr>
          <w:rFonts w:ascii="Times New Roman" w:eastAsia="Cambria" w:hAnsi="Times New Roman" w:cs="Times New Roman"/>
          <w:i/>
          <w:iCs/>
          <w:sz w:val="24"/>
          <w:szCs w:val="24"/>
          <w:lang w:val="en-AU" w:eastAsia="en-AU" w:bidi="ar-SA"/>
        </w:rPr>
        <w:t>The Legal System: A Social Science Perspective</w:t>
      </w:r>
      <w:r w:rsidRPr="00C16486">
        <w:rPr>
          <w:rFonts w:ascii="Times New Roman" w:eastAsia="Cambria" w:hAnsi="Times New Roman" w:cs="Times New Roman"/>
          <w:sz w:val="24"/>
          <w:szCs w:val="24"/>
          <w:lang w:val="en-AU" w:eastAsia="en-AU" w:bidi="ar-SA"/>
        </w:rPr>
        <w:t>. New York: Russell Sage Foundation, 1975.</w:t>
      </w:r>
    </w:p>
    <w:p w14:paraId="26A39FC8"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t>Hadjon</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Philipus</w:t>
      </w:r>
      <w:proofErr w:type="spellEnd"/>
      <w:r w:rsidRPr="00C16486">
        <w:rPr>
          <w:rFonts w:ascii="Times New Roman" w:eastAsia="Cambria" w:hAnsi="Times New Roman" w:cs="Times New Roman"/>
          <w:sz w:val="24"/>
          <w:szCs w:val="24"/>
          <w:lang w:val="en-AU" w:eastAsia="en-AU" w:bidi="ar-SA"/>
        </w:rPr>
        <w:t xml:space="preserve"> M. </w:t>
      </w:r>
      <w:proofErr w:type="spellStart"/>
      <w:r w:rsidRPr="00C16486">
        <w:rPr>
          <w:rFonts w:ascii="Times New Roman" w:eastAsia="Cambria" w:hAnsi="Times New Roman" w:cs="Times New Roman"/>
          <w:i/>
          <w:iCs/>
          <w:sz w:val="24"/>
          <w:szCs w:val="24"/>
          <w:lang w:val="en-AU" w:eastAsia="en-AU" w:bidi="ar-SA"/>
        </w:rPr>
        <w:t>Perlindungan</w:t>
      </w:r>
      <w:proofErr w:type="spellEnd"/>
      <w:r w:rsidRPr="00C16486">
        <w:rPr>
          <w:rFonts w:ascii="Times New Roman" w:eastAsia="Cambria" w:hAnsi="Times New Roman" w:cs="Times New Roman"/>
          <w:i/>
          <w:iCs/>
          <w:sz w:val="24"/>
          <w:szCs w:val="24"/>
          <w:lang w:val="en-AU" w:eastAsia="en-AU" w:bidi="ar-SA"/>
        </w:rPr>
        <w:t xml:space="preserve"> Hukum </w:t>
      </w:r>
      <w:proofErr w:type="spellStart"/>
      <w:r w:rsidRPr="00C16486">
        <w:rPr>
          <w:rFonts w:ascii="Times New Roman" w:eastAsia="Cambria" w:hAnsi="Times New Roman" w:cs="Times New Roman"/>
          <w:i/>
          <w:iCs/>
          <w:sz w:val="24"/>
          <w:szCs w:val="24"/>
          <w:lang w:val="en-AU" w:eastAsia="en-AU" w:bidi="ar-SA"/>
        </w:rPr>
        <w:t>bagi</w:t>
      </w:r>
      <w:proofErr w:type="spellEnd"/>
      <w:r w:rsidRPr="00C16486">
        <w:rPr>
          <w:rFonts w:ascii="Times New Roman" w:eastAsia="Cambria" w:hAnsi="Times New Roman" w:cs="Times New Roman"/>
          <w:i/>
          <w:iCs/>
          <w:sz w:val="24"/>
          <w:szCs w:val="24"/>
          <w:lang w:val="en-AU" w:eastAsia="en-AU" w:bidi="ar-SA"/>
        </w:rPr>
        <w:t xml:space="preserve"> Rakyat di Indonesia</w:t>
      </w:r>
      <w:r w:rsidRPr="00C16486">
        <w:rPr>
          <w:rFonts w:ascii="Times New Roman" w:eastAsia="Cambria" w:hAnsi="Times New Roman" w:cs="Times New Roman"/>
          <w:sz w:val="24"/>
          <w:szCs w:val="24"/>
          <w:lang w:val="en-AU" w:eastAsia="en-AU" w:bidi="ar-SA"/>
        </w:rPr>
        <w:t xml:space="preserve">. Surabaya: Bina </w:t>
      </w:r>
      <w:proofErr w:type="spellStart"/>
      <w:r w:rsidRPr="00C16486">
        <w:rPr>
          <w:rFonts w:ascii="Times New Roman" w:eastAsia="Cambria" w:hAnsi="Times New Roman" w:cs="Times New Roman"/>
          <w:sz w:val="24"/>
          <w:szCs w:val="24"/>
          <w:lang w:val="en-AU" w:eastAsia="en-AU" w:bidi="ar-SA"/>
        </w:rPr>
        <w:t>Ilmu</w:t>
      </w:r>
      <w:proofErr w:type="spellEnd"/>
      <w:r w:rsidRPr="00C16486">
        <w:rPr>
          <w:rFonts w:ascii="Times New Roman" w:eastAsia="Cambria" w:hAnsi="Times New Roman" w:cs="Times New Roman"/>
          <w:sz w:val="24"/>
          <w:szCs w:val="24"/>
          <w:lang w:val="en-AU" w:eastAsia="en-AU" w:bidi="ar-SA"/>
        </w:rPr>
        <w:t>, 1987.</w:t>
      </w:r>
    </w:p>
    <w:p w14:paraId="6E3573A0"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t>Hasibuan</w:t>
      </w:r>
      <w:proofErr w:type="spellEnd"/>
      <w:r w:rsidRPr="00C16486">
        <w:rPr>
          <w:rFonts w:ascii="Times New Roman" w:eastAsia="Cambria" w:hAnsi="Times New Roman" w:cs="Times New Roman"/>
          <w:sz w:val="24"/>
          <w:szCs w:val="24"/>
          <w:lang w:val="en-AU" w:eastAsia="en-AU" w:bidi="ar-SA"/>
        </w:rPr>
        <w:t xml:space="preserve">, Otto. </w:t>
      </w:r>
      <w:r w:rsidRPr="00C16486">
        <w:rPr>
          <w:rFonts w:ascii="Times New Roman" w:eastAsia="Cambria" w:hAnsi="Times New Roman" w:cs="Times New Roman"/>
          <w:i/>
          <w:iCs/>
          <w:sz w:val="24"/>
          <w:szCs w:val="24"/>
          <w:lang w:val="en-AU" w:eastAsia="en-AU" w:bidi="ar-SA"/>
        </w:rPr>
        <w:t xml:space="preserve">Hak Cipta di Indonesia: </w:t>
      </w:r>
      <w:proofErr w:type="spellStart"/>
      <w:r w:rsidRPr="00C16486">
        <w:rPr>
          <w:rFonts w:ascii="Times New Roman" w:eastAsia="Cambria" w:hAnsi="Times New Roman" w:cs="Times New Roman"/>
          <w:i/>
          <w:iCs/>
          <w:sz w:val="24"/>
          <w:szCs w:val="24"/>
          <w:lang w:val="en-AU" w:eastAsia="en-AU" w:bidi="ar-SA"/>
        </w:rPr>
        <w:t>Tinjauan</w:t>
      </w:r>
      <w:proofErr w:type="spellEnd"/>
      <w:r w:rsidRPr="00C16486">
        <w:rPr>
          <w:rFonts w:ascii="Times New Roman" w:eastAsia="Cambria" w:hAnsi="Times New Roman" w:cs="Times New Roman"/>
          <w:i/>
          <w:iCs/>
          <w:sz w:val="24"/>
          <w:szCs w:val="24"/>
          <w:lang w:val="en-AU" w:eastAsia="en-AU" w:bidi="ar-SA"/>
        </w:rPr>
        <w:t xml:space="preserve"> </w:t>
      </w:r>
      <w:proofErr w:type="spellStart"/>
      <w:r w:rsidRPr="00C16486">
        <w:rPr>
          <w:rFonts w:ascii="Times New Roman" w:eastAsia="Cambria" w:hAnsi="Times New Roman" w:cs="Times New Roman"/>
          <w:i/>
          <w:iCs/>
          <w:sz w:val="24"/>
          <w:szCs w:val="24"/>
          <w:lang w:val="en-AU" w:eastAsia="en-AU" w:bidi="ar-SA"/>
        </w:rPr>
        <w:t>Khusus</w:t>
      </w:r>
      <w:proofErr w:type="spellEnd"/>
      <w:r w:rsidRPr="00C16486">
        <w:rPr>
          <w:rFonts w:ascii="Times New Roman" w:eastAsia="Cambria" w:hAnsi="Times New Roman" w:cs="Times New Roman"/>
          <w:i/>
          <w:iCs/>
          <w:sz w:val="24"/>
          <w:szCs w:val="24"/>
          <w:lang w:val="en-AU" w:eastAsia="en-AU" w:bidi="ar-SA"/>
        </w:rPr>
        <w:t xml:space="preserve"> Hak Cipta Lagu, Neighbouring Rights, dan Collecting Society</w:t>
      </w:r>
      <w:r w:rsidRPr="00C16486">
        <w:rPr>
          <w:rFonts w:ascii="Times New Roman" w:eastAsia="Cambria" w:hAnsi="Times New Roman" w:cs="Times New Roman"/>
          <w:sz w:val="24"/>
          <w:szCs w:val="24"/>
          <w:lang w:val="en-AU" w:eastAsia="en-AU" w:bidi="ar-SA"/>
        </w:rPr>
        <w:t>. Bandung: Alumni, 2008.</w:t>
      </w:r>
    </w:p>
    <w:p w14:paraId="13A1B544"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t>Jened</w:t>
      </w:r>
      <w:proofErr w:type="spellEnd"/>
      <w:r w:rsidRPr="00C16486">
        <w:rPr>
          <w:rFonts w:ascii="Times New Roman" w:eastAsia="Cambria" w:hAnsi="Times New Roman" w:cs="Times New Roman"/>
          <w:sz w:val="24"/>
          <w:szCs w:val="24"/>
          <w:lang w:val="en-AU" w:eastAsia="en-AU" w:bidi="ar-SA"/>
        </w:rPr>
        <w:t xml:space="preserve">, Rahmi. </w:t>
      </w:r>
      <w:r w:rsidRPr="00C16486">
        <w:rPr>
          <w:rFonts w:ascii="Times New Roman" w:eastAsia="Cambria" w:hAnsi="Times New Roman" w:cs="Times New Roman"/>
          <w:i/>
          <w:iCs/>
          <w:sz w:val="24"/>
          <w:szCs w:val="24"/>
          <w:lang w:val="en-AU" w:eastAsia="en-AU" w:bidi="ar-SA"/>
        </w:rPr>
        <w:t>Hukum Hak Cipta (Copyright Law)</w:t>
      </w:r>
      <w:r w:rsidRPr="00C16486">
        <w:rPr>
          <w:rFonts w:ascii="Times New Roman" w:eastAsia="Cambria" w:hAnsi="Times New Roman" w:cs="Times New Roman"/>
          <w:sz w:val="24"/>
          <w:szCs w:val="24"/>
          <w:lang w:val="en-AU" w:eastAsia="en-AU" w:bidi="ar-SA"/>
        </w:rPr>
        <w:t>. Bandung: Citra Aditya Bakti, 2014.</w:t>
      </w:r>
    </w:p>
    <w:p w14:paraId="3DB3BA29"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r w:rsidRPr="00C16486">
        <w:rPr>
          <w:rFonts w:ascii="Times New Roman" w:eastAsia="Cambria" w:hAnsi="Times New Roman" w:cs="Times New Roman"/>
          <w:sz w:val="24"/>
          <w:szCs w:val="24"/>
          <w:lang w:val="en-AU" w:eastAsia="en-AU" w:bidi="ar-SA"/>
        </w:rPr>
        <w:t xml:space="preserve">Marzuki, Peter Mahmud. </w:t>
      </w:r>
      <w:proofErr w:type="spellStart"/>
      <w:r w:rsidRPr="00C16486">
        <w:rPr>
          <w:rFonts w:ascii="Times New Roman" w:eastAsia="Cambria" w:hAnsi="Times New Roman" w:cs="Times New Roman"/>
          <w:i/>
          <w:iCs/>
          <w:sz w:val="24"/>
          <w:szCs w:val="24"/>
          <w:lang w:val="en-AU" w:eastAsia="en-AU" w:bidi="ar-SA"/>
        </w:rPr>
        <w:t>Penelitian</w:t>
      </w:r>
      <w:proofErr w:type="spellEnd"/>
      <w:r w:rsidRPr="00C16486">
        <w:rPr>
          <w:rFonts w:ascii="Times New Roman" w:eastAsia="Cambria" w:hAnsi="Times New Roman" w:cs="Times New Roman"/>
          <w:i/>
          <w:iCs/>
          <w:sz w:val="24"/>
          <w:szCs w:val="24"/>
          <w:lang w:val="en-AU" w:eastAsia="en-AU" w:bidi="ar-SA"/>
        </w:rPr>
        <w:t xml:space="preserve"> Hukum</w:t>
      </w:r>
      <w:r w:rsidRPr="00C16486">
        <w:rPr>
          <w:rFonts w:ascii="Times New Roman" w:eastAsia="Cambria" w:hAnsi="Times New Roman" w:cs="Times New Roman"/>
          <w:sz w:val="24"/>
          <w:szCs w:val="24"/>
          <w:lang w:val="en-AU" w:eastAsia="en-AU" w:bidi="ar-SA"/>
        </w:rPr>
        <w:t xml:space="preserve">. Rev. ed. </w:t>
      </w:r>
      <w:r w:rsidRPr="00C16486">
        <w:rPr>
          <w:rFonts w:ascii="Times New Roman" w:eastAsia="Cambria" w:hAnsi="Times New Roman" w:cs="Times New Roman"/>
          <w:sz w:val="24"/>
          <w:szCs w:val="24"/>
          <w:lang w:val="fi-FI" w:eastAsia="en-AU" w:bidi="ar-SA"/>
        </w:rPr>
        <w:t xml:space="preserve">Jakarta: </w:t>
      </w:r>
      <w:proofErr w:type="spellStart"/>
      <w:r w:rsidRPr="00C16486">
        <w:rPr>
          <w:rFonts w:ascii="Times New Roman" w:eastAsia="Cambria" w:hAnsi="Times New Roman" w:cs="Times New Roman"/>
          <w:sz w:val="24"/>
          <w:szCs w:val="24"/>
          <w:lang w:val="fi-FI" w:eastAsia="en-AU" w:bidi="ar-SA"/>
        </w:rPr>
        <w:t>Kencana</w:t>
      </w:r>
      <w:proofErr w:type="spellEnd"/>
      <w:r w:rsidRPr="00C16486">
        <w:rPr>
          <w:rFonts w:ascii="Times New Roman" w:eastAsia="Cambria" w:hAnsi="Times New Roman" w:cs="Times New Roman"/>
          <w:sz w:val="24"/>
          <w:szCs w:val="24"/>
          <w:lang w:val="fi-FI" w:eastAsia="en-AU" w:bidi="ar-SA"/>
        </w:rPr>
        <w:t>, 2021.</w:t>
      </w:r>
    </w:p>
    <w:p w14:paraId="32F9832C"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proofErr w:type="spellStart"/>
      <w:r w:rsidRPr="00C16486">
        <w:rPr>
          <w:rFonts w:ascii="Times New Roman" w:eastAsia="Cambria" w:hAnsi="Times New Roman" w:cs="Times New Roman"/>
          <w:sz w:val="24"/>
          <w:szCs w:val="24"/>
          <w:lang w:val="fi-FI" w:eastAsia="en-AU" w:bidi="ar-SA"/>
        </w:rPr>
        <w:t>Rahardjo</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Satjipto</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Masalah</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Penegakan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Hukum</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Suatu</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Tinjauan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Sosiologis</w:t>
      </w:r>
      <w:proofErr w:type="spellEnd"/>
      <w:r w:rsidRPr="00C16486">
        <w:rPr>
          <w:rFonts w:ascii="Times New Roman" w:eastAsia="Cambria" w:hAnsi="Times New Roman" w:cs="Times New Roman"/>
          <w:sz w:val="24"/>
          <w:szCs w:val="24"/>
          <w:lang w:val="fi-FI" w:eastAsia="en-AU" w:bidi="ar-SA"/>
        </w:rPr>
        <w:t xml:space="preserve">. Bandung: </w:t>
      </w:r>
      <w:proofErr w:type="spellStart"/>
      <w:r w:rsidRPr="00C16486">
        <w:rPr>
          <w:rFonts w:ascii="Times New Roman" w:eastAsia="Cambria" w:hAnsi="Times New Roman" w:cs="Times New Roman"/>
          <w:sz w:val="24"/>
          <w:szCs w:val="24"/>
          <w:lang w:val="fi-FI" w:eastAsia="en-AU" w:bidi="ar-SA"/>
        </w:rPr>
        <w:t>Sinar</w:t>
      </w:r>
      <w:proofErr w:type="spellEnd"/>
      <w:r w:rsidRPr="00C16486">
        <w:rPr>
          <w:rFonts w:ascii="Times New Roman" w:eastAsia="Cambria" w:hAnsi="Times New Roman" w:cs="Times New Roman"/>
          <w:sz w:val="24"/>
          <w:szCs w:val="24"/>
          <w:lang w:val="fi-FI" w:eastAsia="en-AU" w:bidi="ar-SA"/>
        </w:rPr>
        <w:t xml:space="preserve"> Baru, 1983.</w:t>
      </w:r>
    </w:p>
    <w:p w14:paraId="292A0561"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proofErr w:type="spellStart"/>
      <w:r w:rsidRPr="00C16486">
        <w:rPr>
          <w:rFonts w:ascii="Times New Roman" w:eastAsia="Cambria" w:hAnsi="Times New Roman" w:cs="Times New Roman"/>
          <w:sz w:val="24"/>
          <w:szCs w:val="24"/>
          <w:lang w:val="fi-FI" w:eastAsia="en-AU" w:bidi="ar-SA"/>
        </w:rPr>
        <w:t>Soekanto</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Soerjono</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Faktor-Faktor</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yang</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Mempengaruhi</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Penegakan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Hukum</w:t>
      </w:r>
      <w:proofErr w:type="spellEnd"/>
      <w:r w:rsidRPr="00C16486">
        <w:rPr>
          <w:rFonts w:ascii="Times New Roman" w:eastAsia="Cambria" w:hAnsi="Times New Roman" w:cs="Times New Roman"/>
          <w:sz w:val="24"/>
          <w:szCs w:val="24"/>
          <w:lang w:val="fi-FI" w:eastAsia="en-AU" w:bidi="ar-SA"/>
        </w:rPr>
        <w:t xml:space="preserve">. Jakarta: </w:t>
      </w:r>
      <w:proofErr w:type="spellStart"/>
      <w:r w:rsidRPr="00C16486">
        <w:rPr>
          <w:rFonts w:ascii="Times New Roman" w:eastAsia="Cambria" w:hAnsi="Times New Roman" w:cs="Times New Roman"/>
          <w:sz w:val="24"/>
          <w:szCs w:val="24"/>
          <w:lang w:val="fi-FI" w:eastAsia="en-AU" w:bidi="ar-SA"/>
        </w:rPr>
        <w:t>Rajawali</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Pers</w:t>
      </w:r>
      <w:proofErr w:type="spellEnd"/>
      <w:r w:rsidRPr="00C16486">
        <w:rPr>
          <w:rFonts w:ascii="Times New Roman" w:eastAsia="Cambria" w:hAnsi="Times New Roman" w:cs="Times New Roman"/>
          <w:sz w:val="24"/>
          <w:szCs w:val="24"/>
          <w:lang w:val="fi-FI" w:eastAsia="en-AU" w:bidi="ar-SA"/>
        </w:rPr>
        <w:t>, 2014.</w:t>
      </w:r>
    </w:p>
    <w:p w14:paraId="4C1D1E46"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fi-FI" w:eastAsia="en-AU" w:bidi="ar-SA"/>
        </w:rPr>
        <w:t>Soekanto</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Soerjono</w:t>
      </w:r>
      <w:proofErr w:type="spellEnd"/>
      <w:r w:rsidRPr="00C16486">
        <w:rPr>
          <w:rFonts w:ascii="Times New Roman" w:eastAsia="Cambria" w:hAnsi="Times New Roman" w:cs="Times New Roman"/>
          <w:sz w:val="24"/>
          <w:szCs w:val="24"/>
          <w:lang w:val="fi-FI" w:eastAsia="en-AU" w:bidi="ar-SA"/>
        </w:rPr>
        <w:t xml:space="preserve">, and Sri </w:t>
      </w:r>
      <w:proofErr w:type="spellStart"/>
      <w:r w:rsidRPr="00C16486">
        <w:rPr>
          <w:rFonts w:ascii="Times New Roman" w:eastAsia="Cambria" w:hAnsi="Times New Roman" w:cs="Times New Roman"/>
          <w:sz w:val="24"/>
          <w:szCs w:val="24"/>
          <w:lang w:val="fi-FI" w:eastAsia="en-AU" w:bidi="ar-SA"/>
        </w:rPr>
        <w:t>Mamudji</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Penelitian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Hukum</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Normatif</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Suatu</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Tinjauan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Singkat</w:t>
      </w:r>
      <w:proofErr w:type="spellEnd"/>
      <w:r w:rsidRPr="00C16486">
        <w:rPr>
          <w:rFonts w:ascii="Times New Roman" w:eastAsia="Cambria" w:hAnsi="Times New Roman" w:cs="Times New Roman"/>
          <w:sz w:val="24"/>
          <w:szCs w:val="24"/>
          <w:lang w:val="fi-FI" w:eastAsia="en-AU" w:bidi="ar-SA"/>
        </w:rPr>
        <w:t xml:space="preserve">. </w:t>
      </w:r>
      <w:r w:rsidRPr="00C16486">
        <w:rPr>
          <w:rFonts w:ascii="Times New Roman" w:eastAsia="Cambria" w:hAnsi="Times New Roman" w:cs="Times New Roman"/>
          <w:sz w:val="24"/>
          <w:szCs w:val="24"/>
          <w:lang w:val="en-AU" w:eastAsia="en-AU" w:bidi="ar-SA"/>
        </w:rPr>
        <w:t xml:space="preserve">Jakarta: </w:t>
      </w:r>
      <w:proofErr w:type="spellStart"/>
      <w:r w:rsidRPr="00C16486">
        <w:rPr>
          <w:rFonts w:ascii="Times New Roman" w:eastAsia="Cambria" w:hAnsi="Times New Roman" w:cs="Times New Roman"/>
          <w:sz w:val="24"/>
          <w:szCs w:val="24"/>
          <w:lang w:val="en-AU" w:eastAsia="en-AU" w:bidi="ar-SA"/>
        </w:rPr>
        <w:t>Rajawali</w:t>
      </w:r>
      <w:proofErr w:type="spellEnd"/>
      <w:r w:rsidRPr="00C16486">
        <w:rPr>
          <w:rFonts w:ascii="Times New Roman" w:eastAsia="Cambria" w:hAnsi="Times New Roman" w:cs="Times New Roman"/>
          <w:sz w:val="24"/>
          <w:szCs w:val="24"/>
          <w:lang w:val="en-AU" w:eastAsia="en-AU" w:bidi="ar-SA"/>
        </w:rPr>
        <w:t xml:space="preserve"> Pers, 2015.</w:t>
      </w:r>
    </w:p>
    <w:p w14:paraId="1E5195E4" w14:textId="1A96A682"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Zehr, Howard. </w:t>
      </w:r>
      <w:r w:rsidRPr="00C16486">
        <w:rPr>
          <w:rFonts w:ascii="Times New Roman" w:eastAsia="Cambria" w:hAnsi="Times New Roman" w:cs="Times New Roman"/>
          <w:i/>
          <w:iCs/>
          <w:sz w:val="24"/>
          <w:szCs w:val="24"/>
          <w:lang w:val="en-AU" w:eastAsia="en-AU" w:bidi="ar-SA"/>
        </w:rPr>
        <w:t>The Little Book of Restorative Justice</w:t>
      </w:r>
      <w:r w:rsidRPr="00C16486">
        <w:rPr>
          <w:rFonts w:ascii="Times New Roman" w:eastAsia="Cambria" w:hAnsi="Times New Roman" w:cs="Times New Roman"/>
          <w:sz w:val="24"/>
          <w:szCs w:val="24"/>
          <w:lang w:val="en-AU" w:eastAsia="en-AU" w:bidi="ar-SA"/>
        </w:rPr>
        <w:t>. Rev. ed. New York: Good Books, 2015.</w:t>
      </w:r>
    </w:p>
    <w:p w14:paraId="3607DA2B" w14:textId="3AF01290" w:rsidR="00A90240" w:rsidRPr="00C626FA" w:rsidRDefault="00000000" w:rsidP="00C16486">
      <w:pPr>
        <w:spacing w:before="240" w:after="0"/>
        <w:ind w:left="284"/>
        <w:jc w:val="center"/>
        <w:rPr>
          <w:rFonts w:ascii="Cambria" w:eastAsia="EB Garamond" w:hAnsi="Cambria" w:cs="EB Garamond"/>
          <w:b/>
          <w:bCs/>
          <w:color w:val="215B57"/>
          <w:szCs w:val="22"/>
        </w:rPr>
      </w:pPr>
      <w:r w:rsidRPr="00C626FA">
        <w:rPr>
          <w:rFonts w:ascii="Cambria" w:eastAsia="EB Garamond" w:hAnsi="Cambria" w:cs="EB Garamond"/>
          <w:b/>
          <w:bCs/>
          <w:color w:val="215B57"/>
          <w:szCs w:val="22"/>
        </w:rPr>
        <w:t>Journal article:</w:t>
      </w:r>
    </w:p>
    <w:p w14:paraId="2D0CC080"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lastRenderedPageBreak/>
        <w:t>Berliana</w:t>
      </w:r>
      <w:proofErr w:type="spellEnd"/>
      <w:r w:rsidRPr="00C16486">
        <w:rPr>
          <w:rFonts w:ascii="Times New Roman" w:eastAsia="Cambria" w:hAnsi="Times New Roman" w:cs="Times New Roman"/>
          <w:sz w:val="24"/>
          <w:szCs w:val="24"/>
          <w:lang w:val="en-AU" w:eastAsia="en-AU" w:bidi="ar-SA"/>
        </w:rPr>
        <w:t xml:space="preserve">, Mutiara, and Wilson Silalahi. "Hak Cipta Musik dan </w:t>
      </w:r>
      <w:proofErr w:type="spellStart"/>
      <w:r w:rsidRPr="00C16486">
        <w:rPr>
          <w:rFonts w:ascii="Times New Roman" w:eastAsia="Cambria" w:hAnsi="Times New Roman" w:cs="Times New Roman"/>
          <w:sz w:val="24"/>
          <w:szCs w:val="24"/>
          <w:lang w:val="en-AU" w:eastAsia="en-AU" w:bidi="ar-SA"/>
        </w:rPr>
        <w:t>Pengaruhnya</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terhadap</w:t>
      </w:r>
      <w:proofErr w:type="spellEnd"/>
      <w:r w:rsidRPr="00C16486">
        <w:rPr>
          <w:rFonts w:ascii="Times New Roman" w:eastAsia="Cambria" w:hAnsi="Times New Roman" w:cs="Times New Roman"/>
          <w:sz w:val="24"/>
          <w:szCs w:val="24"/>
          <w:lang w:val="en-AU" w:eastAsia="en-AU" w:bidi="ar-SA"/>
        </w:rPr>
        <w:t xml:space="preserve"> Industri Musik di Indonesia." </w:t>
      </w:r>
      <w:r w:rsidRPr="00C16486">
        <w:rPr>
          <w:rFonts w:ascii="Times New Roman" w:eastAsia="Cambria" w:hAnsi="Times New Roman" w:cs="Times New Roman"/>
          <w:i/>
          <w:iCs/>
          <w:sz w:val="24"/>
          <w:szCs w:val="24"/>
          <w:lang w:val="en-AU" w:eastAsia="en-AU" w:bidi="ar-SA"/>
        </w:rPr>
        <w:t xml:space="preserve">USRAH: </w:t>
      </w:r>
      <w:proofErr w:type="spellStart"/>
      <w:r w:rsidRPr="00C16486">
        <w:rPr>
          <w:rFonts w:ascii="Times New Roman" w:eastAsia="Cambria" w:hAnsi="Times New Roman" w:cs="Times New Roman"/>
          <w:i/>
          <w:iCs/>
          <w:sz w:val="24"/>
          <w:szCs w:val="24"/>
          <w:lang w:val="en-AU" w:eastAsia="en-AU" w:bidi="ar-SA"/>
        </w:rPr>
        <w:t>Jurnal</w:t>
      </w:r>
      <w:proofErr w:type="spellEnd"/>
      <w:r w:rsidRPr="00C16486">
        <w:rPr>
          <w:rFonts w:ascii="Times New Roman" w:eastAsia="Cambria" w:hAnsi="Times New Roman" w:cs="Times New Roman"/>
          <w:i/>
          <w:iCs/>
          <w:sz w:val="24"/>
          <w:szCs w:val="24"/>
          <w:lang w:val="en-AU" w:eastAsia="en-AU" w:bidi="ar-SA"/>
        </w:rPr>
        <w:t xml:space="preserve"> Hukum </w:t>
      </w:r>
      <w:proofErr w:type="spellStart"/>
      <w:r w:rsidRPr="00C16486">
        <w:rPr>
          <w:rFonts w:ascii="Times New Roman" w:eastAsia="Cambria" w:hAnsi="Times New Roman" w:cs="Times New Roman"/>
          <w:i/>
          <w:iCs/>
          <w:sz w:val="24"/>
          <w:szCs w:val="24"/>
          <w:lang w:val="en-AU" w:eastAsia="en-AU" w:bidi="ar-SA"/>
        </w:rPr>
        <w:t>Keluarga</w:t>
      </w:r>
      <w:proofErr w:type="spellEnd"/>
      <w:r w:rsidRPr="00C16486">
        <w:rPr>
          <w:rFonts w:ascii="Times New Roman" w:eastAsia="Cambria" w:hAnsi="Times New Roman" w:cs="Times New Roman"/>
          <w:i/>
          <w:iCs/>
          <w:sz w:val="24"/>
          <w:szCs w:val="24"/>
          <w:lang w:val="en-AU" w:eastAsia="en-AU" w:bidi="ar-SA"/>
        </w:rPr>
        <w:t xml:space="preserve"> Islam</w:t>
      </w:r>
      <w:r w:rsidRPr="00C16486">
        <w:rPr>
          <w:rFonts w:ascii="Times New Roman" w:eastAsia="Cambria" w:hAnsi="Times New Roman" w:cs="Times New Roman"/>
          <w:sz w:val="24"/>
          <w:szCs w:val="24"/>
          <w:lang w:val="en-AU" w:eastAsia="en-AU" w:bidi="ar-SA"/>
        </w:rPr>
        <w:t xml:space="preserve"> 6, no. 1 (2025): 199–212.</w:t>
      </w:r>
    </w:p>
    <w:p w14:paraId="5D41AA97"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proofErr w:type="spellStart"/>
      <w:r w:rsidRPr="00C16486">
        <w:rPr>
          <w:rFonts w:ascii="Times New Roman" w:eastAsia="Cambria" w:hAnsi="Times New Roman" w:cs="Times New Roman"/>
          <w:sz w:val="24"/>
          <w:szCs w:val="24"/>
          <w:lang w:val="en-AU" w:eastAsia="en-AU" w:bidi="ar-SA"/>
        </w:rPr>
        <w:t>Indarsen</w:t>
      </w:r>
      <w:proofErr w:type="spellEnd"/>
      <w:r w:rsidRPr="00C16486">
        <w:rPr>
          <w:rFonts w:ascii="Times New Roman" w:eastAsia="Cambria" w:hAnsi="Times New Roman" w:cs="Times New Roman"/>
          <w:sz w:val="24"/>
          <w:szCs w:val="24"/>
          <w:lang w:val="en-AU" w:eastAsia="en-AU" w:bidi="ar-SA"/>
        </w:rPr>
        <w:t>, Nurul. "</w:t>
      </w:r>
      <w:proofErr w:type="spellStart"/>
      <w:r w:rsidRPr="00C16486">
        <w:rPr>
          <w:rFonts w:ascii="Times New Roman" w:eastAsia="Cambria" w:hAnsi="Times New Roman" w:cs="Times New Roman"/>
          <w:sz w:val="24"/>
          <w:szCs w:val="24"/>
          <w:lang w:val="en-AU" w:eastAsia="en-AU" w:bidi="ar-SA"/>
        </w:rPr>
        <w:t>Konsekuensi</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Hadirnya</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Peraturan</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Pemerintah</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Nomor</w:t>
      </w:r>
      <w:proofErr w:type="spellEnd"/>
      <w:r w:rsidRPr="00C16486">
        <w:rPr>
          <w:rFonts w:ascii="Times New Roman" w:eastAsia="Cambria" w:hAnsi="Times New Roman" w:cs="Times New Roman"/>
          <w:sz w:val="24"/>
          <w:szCs w:val="24"/>
          <w:lang w:val="en-AU" w:eastAsia="en-AU" w:bidi="ar-SA"/>
        </w:rPr>
        <w:t xml:space="preserve"> 56 </w:t>
      </w:r>
      <w:proofErr w:type="spellStart"/>
      <w:r w:rsidRPr="00C16486">
        <w:rPr>
          <w:rFonts w:ascii="Times New Roman" w:eastAsia="Cambria" w:hAnsi="Times New Roman" w:cs="Times New Roman"/>
          <w:sz w:val="24"/>
          <w:szCs w:val="24"/>
          <w:lang w:val="en-AU" w:eastAsia="en-AU" w:bidi="ar-SA"/>
        </w:rPr>
        <w:t>Tahun</w:t>
      </w:r>
      <w:proofErr w:type="spellEnd"/>
      <w:r w:rsidRPr="00C16486">
        <w:rPr>
          <w:rFonts w:ascii="Times New Roman" w:eastAsia="Cambria" w:hAnsi="Times New Roman" w:cs="Times New Roman"/>
          <w:sz w:val="24"/>
          <w:szCs w:val="24"/>
          <w:lang w:val="en-AU" w:eastAsia="en-AU" w:bidi="ar-SA"/>
        </w:rPr>
        <w:t xml:space="preserve"> 2021 </w:t>
      </w:r>
      <w:proofErr w:type="spellStart"/>
      <w:r w:rsidRPr="00C16486">
        <w:rPr>
          <w:rFonts w:ascii="Times New Roman" w:eastAsia="Cambria" w:hAnsi="Times New Roman" w:cs="Times New Roman"/>
          <w:sz w:val="24"/>
          <w:szCs w:val="24"/>
          <w:lang w:val="en-AU" w:eastAsia="en-AU" w:bidi="ar-SA"/>
        </w:rPr>
        <w:t>tentang</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Pengelolaan</w:t>
      </w:r>
      <w:proofErr w:type="spellEnd"/>
      <w:r w:rsidRPr="00C16486">
        <w:rPr>
          <w:rFonts w:ascii="Times New Roman" w:eastAsia="Cambria" w:hAnsi="Times New Roman" w:cs="Times New Roman"/>
          <w:sz w:val="24"/>
          <w:szCs w:val="24"/>
          <w:lang w:val="en-AU" w:eastAsia="en-AU" w:bidi="ar-SA"/>
        </w:rPr>
        <w:t xml:space="preserve"> Royalti Hak Cipta Lagu dan/</w:t>
      </w:r>
      <w:proofErr w:type="spellStart"/>
      <w:r w:rsidRPr="00C16486">
        <w:rPr>
          <w:rFonts w:ascii="Times New Roman" w:eastAsia="Cambria" w:hAnsi="Times New Roman" w:cs="Times New Roman"/>
          <w:sz w:val="24"/>
          <w:szCs w:val="24"/>
          <w:lang w:val="en-AU" w:eastAsia="en-AU" w:bidi="ar-SA"/>
        </w:rPr>
        <w:t>atau</w:t>
      </w:r>
      <w:proofErr w:type="spellEnd"/>
      <w:r w:rsidRPr="00C16486">
        <w:rPr>
          <w:rFonts w:ascii="Times New Roman" w:eastAsia="Cambria" w:hAnsi="Times New Roman" w:cs="Times New Roman"/>
          <w:sz w:val="24"/>
          <w:szCs w:val="24"/>
          <w:lang w:val="en-AU" w:eastAsia="en-AU" w:bidi="ar-SA"/>
        </w:rPr>
        <w:t xml:space="preserve"> Musik </w:t>
      </w:r>
      <w:proofErr w:type="spellStart"/>
      <w:r w:rsidRPr="00C16486">
        <w:rPr>
          <w:rFonts w:ascii="Times New Roman" w:eastAsia="Cambria" w:hAnsi="Times New Roman" w:cs="Times New Roman"/>
          <w:sz w:val="24"/>
          <w:szCs w:val="24"/>
          <w:lang w:val="en-AU" w:eastAsia="en-AU" w:bidi="ar-SA"/>
        </w:rPr>
        <w:t>terhadap</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Pemungutan</w:t>
      </w:r>
      <w:proofErr w:type="spellEnd"/>
      <w:r w:rsidRPr="00C16486">
        <w:rPr>
          <w:rFonts w:ascii="Times New Roman" w:eastAsia="Cambria" w:hAnsi="Times New Roman" w:cs="Times New Roman"/>
          <w:sz w:val="24"/>
          <w:szCs w:val="24"/>
          <w:lang w:val="en-AU" w:eastAsia="en-AU" w:bidi="ar-SA"/>
        </w:rPr>
        <w:t xml:space="preserve"> Royalti Lagu dan/</w:t>
      </w:r>
      <w:proofErr w:type="spellStart"/>
      <w:r w:rsidRPr="00C16486">
        <w:rPr>
          <w:rFonts w:ascii="Times New Roman" w:eastAsia="Cambria" w:hAnsi="Times New Roman" w:cs="Times New Roman"/>
          <w:sz w:val="24"/>
          <w:szCs w:val="24"/>
          <w:lang w:val="en-AU" w:eastAsia="en-AU" w:bidi="ar-SA"/>
        </w:rPr>
        <w:t>atau</w:t>
      </w:r>
      <w:proofErr w:type="spellEnd"/>
      <w:r w:rsidRPr="00C16486">
        <w:rPr>
          <w:rFonts w:ascii="Times New Roman" w:eastAsia="Cambria" w:hAnsi="Times New Roman" w:cs="Times New Roman"/>
          <w:sz w:val="24"/>
          <w:szCs w:val="24"/>
          <w:lang w:val="en-AU" w:eastAsia="en-AU" w:bidi="ar-SA"/>
        </w:rPr>
        <w:t xml:space="preserve"> Musik." </w:t>
      </w:r>
      <w:proofErr w:type="spellStart"/>
      <w:r w:rsidRPr="00C16486">
        <w:rPr>
          <w:rFonts w:ascii="Times New Roman" w:eastAsia="Cambria" w:hAnsi="Times New Roman" w:cs="Times New Roman"/>
          <w:i/>
          <w:iCs/>
          <w:sz w:val="24"/>
          <w:szCs w:val="24"/>
          <w:lang w:val="fi-FI" w:eastAsia="en-AU" w:bidi="ar-SA"/>
        </w:rPr>
        <w:t>Locus</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Jurnal</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Konsep</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Ilmu</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Hukum</w:t>
      </w:r>
      <w:proofErr w:type="spellEnd"/>
      <w:r w:rsidRPr="00C16486">
        <w:rPr>
          <w:rFonts w:ascii="Times New Roman" w:eastAsia="Cambria" w:hAnsi="Times New Roman" w:cs="Times New Roman"/>
          <w:sz w:val="24"/>
          <w:szCs w:val="24"/>
          <w:lang w:val="fi-FI" w:eastAsia="en-AU" w:bidi="ar-SA"/>
        </w:rPr>
        <w:t xml:space="preserve"> 3, no. 2 (2023): 99–112.</w:t>
      </w:r>
    </w:p>
    <w:p w14:paraId="3B3A569F"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fi-FI" w:eastAsia="en-AU" w:bidi="ar-SA"/>
        </w:rPr>
      </w:pPr>
      <w:proofErr w:type="spellStart"/>
      <w:r w:rsidRPr="00C16486">
        <w:rPr>
          <w:rFonts w:ascii="Times New Roman" w:eastAsia="Cambria" w:hAnsi="Times New Roman" w:cs="Times New Roman"/>
          <w:sz w:val="24"/>
          <w:szCs w:val="24"/>
          <w:lang w:val="fi-FI" w:eastAsia="en-AU" w:bidi="ar-SA"/>
        </w:rPr>
        <w:t>Larasati</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Anastasya</w:t>
      </w:r>
      <w:proofErr w:type="spellEnd"/>
      <w:r w:rsidRPr="00C16486">
        <w:rPr>
          <w:rFonts w:ascii="Times New Roman" w:eastAsia="Cambria" w:hAnsi="Times New Roman" w:cs="Times New Roman"/>
          <w:sz w:val="24"/>
          <w:szCs w:val="24"/>
          <w:lang w:val="fi-FI" w:eastAsia="en-AU" w:bidi="ar-SA"/>
        </w:rPr>
        <w:t>, et al. "</w:t>
      </w:r>
      <w:proofErr w:type="spellStart"/>
      <w:r w:rsidRPr="00C16486">
        <w:rPr>
          <w:rFonts w:ascii="Times New Roman" w:eastAsia="Cambria" w:hAnsi="Times New Roman" w:cs="Times New Roman"/>
          <w:sz w:val="24"/>
          <w:szCs w:val="24"/>
          <w:lang w:val="fi-FI" w:eastAsia="en-AU" w:bidi="ar-SA"/>
        </w:rPr>
        <w:t>Perlindungan</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Hukum</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terhadap</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Hak</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Cipta</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Bidang</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Lagu</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dan</w:t>
      </w:r>
      <w:proofErr w:type="spellEnd"/>
      <w:r w:rsidRPr="00C16486">
        <w:rPr>
          <w:rFonts w:ascii="Times New Roman" w:eastAsia="Cambria" w:hAnsi="Times New Roman" w:cs="Times New Roman"/>
          <w:sz w:val="24"/>
          <w:szCs w:val="24"/>
          <w:lang w:val="fi-FI" w:eastAsia="en-AU" w:bidi="ar-SA"/>
        </w:rPr>
        <w:t>/</w:t>
      </w:r>
      <w:proofErr w:type="spellStart"/>
      <w:r w:rsidRPr="00C16486">
        <w:rPr>
          <w:rFonts w:ascii="Times New Roman" w:eastAsia="Cambria" w:hAnsi="Times New Roman" w:cs="Times New Roman"/>
          <w:sz w:val="24"/>
          <w:szCs w:val="24"/>
          <w:lang w:val="fi-FI" w:eastAsia="en-AU" w:bidi="ar-SA"/>
        </w:rPr>
        <w:t>atau</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Musik</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Berdasarkan</w:t>
      </w:r>
      <w:proofErr w:type="spellEnd"/>
      <w:r w:rsidRPr="00C16486">
        <w:rPr>
          <w:rFonts w:ascii="Times New Roman" w:eastAsia="Cambria" w:hAnsi="Times New Roman" w:cs="Times New Roman"/>
          <w:sz w:val="24"/>
          <w:szCs w:val="24"/>
          <w:lang w:val="fi-FI" w:eastAsia="en-AU" w:bidi="ar-SA"/>
        </w:rPr>
        <w:t xml:space="preserve"> PP </w:t>
      </w:r>
      <w:proofErr w:type="spellStart"/>
      <w:r w:rsidRPr="00C16486">
        <w:rPr>
          <w:rFonts w:ascii="Times New Roman" w:eastAsia="Cambria" w:hAnsi="Times New Roman" w:cs="Times New Roman"/>
          <w:sz w:val="24"/>
          <w:szCs w:val="24"/>
          <w:lang w:val="fi-FI" w:eastAsia="en-AU" w:bidi="ar-SA"/>
        </w:rPr>
        <w:t>Nomor</w:t>
      </w:r>
      <w:proofErr w:type="spellEnd"/>
      <w:r w:rsidRPr="00C16486">
        <w:rPr>
          <w:rFonts w:ascii="Times New Roman" w:eastAsia="Cambria" w:hAnsi="Times New Roman" w:cs="Times New Roman"/>
          <w:sz w:val="24"/>
          <w:szCs w:val="24"/>
          <w:lang w:val="fi-FI" w:eastAsia="en-AU" w:bidi="ar-SA"/>
        </w:rPr>
        <w:t xml:space="preserve"> 56 </w:t>
      </w:r>
      <w:proofErr w:type="spellStart"/>
      <w:r w:rsidRPr="00C16486">
        <w:rPr>
          <w:rFonts w:ascii="Times New Roman" w:eastAsia="Cambria" w:hAnsi="Times New Roman" w:cs="Times New Roman"/>
          <w:sz w:val="24"/>
          <w:szCs w:val="24"/>
          <w:lang w:val="fi-FI" w:eastAsia="en-AU" w:bidi="ar-SA"/>
        </w:rPr>
        <w:t>Tahun</w:t>
      </w:r>
      <w:proofErr w:type="spellEnd"/>
      <w:r w:rsidRPr="00C16486">
        <w:rPr>
          <w:rFonts w:ascii="Times New Roman" w:eastAsia="Cambria" w:hAnsi="Times New Roman" w:cs="Times New Roman"/>
          <w:sz w:val="24"/>
          <w:szCs w:val="24"/>
          <w:lang w:val="fi-FI" w:eastAsia="en-AU" w:bidi="ar-SA"/>
        </w:rPr>
        <w:t xml:space="preserve"> 2021 </w:t>
      </w:r>
      <w:proofErr w:type="spellStart"/>
      <w:r w:rsidRPr="00C16486">
        <w:rPr>
          <w:rFonts w:ascii="Times New Roman" w:eastAsia="Cambria" w:hAnsi="Times New Roman" w:cs="Times New Roman"/>
          <w:sz w:val="24"/>
          <w:szCs w:val="24"/>
          <w:lang w:val="fi-FI" w:eastAsia="en-AU" w:bidi="ar-SA"/>
        </w:rPr>
        <w:t>tentang</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Pengelolaan</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Royalti</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Hak</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Cipta</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Lagu</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dan</w:t>
      </w:r>
      <w:proofErr w:type="spellEnd"/>
      <w:r w:rsidRPr="00C16486">
        <w:rPr>
          <w:rFonts w:ascii="Times New Roman" w:eastAsia="Cambria" w:hAnsi="Times New Roman" w:cs="Times New Roman"/>
          <w:sz w:val="24"/>
          <w:szCs w:val="24"/>
          <w:lang w:val="fi-FI" w:eastAsia="en-AU" w:bidi="ar-SA"/>
        </w:rPr>
        <w:t>/</w:t>
      </w:r>
      <w:proofErr w:type="spellStart"/>
      <w:r w:rsidRPr="00C16486">
        <w:rPr>
          <w:rFonts w:ascii="Times New Roman" w:eastAsia="Cambria" w:hAnsi="Times New Roman" w:cs="Times New Roman"/>
          <w:sz w:val="24"/>
          <w:szCs w:val="24"/>
          <w:lang w:val="fi-FI" w:eastAsia="en-AU" w:bidi="ar-SA"/>
        </w:rPr>
        <w:t>atau</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Musik</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Padjadjaran</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Law</w:t>
      </w:r>
      <w:proofErr w:type="spellEnd"/>
      <w:r w:rsidRPr="00C16486">
        <w:rPr>
          <w:rFonts w:ascii="Times New Roman" w:eastAsia="Cambria" w:hAnsi="Times New Roman" w:cs="Times New Roman"/>
          <w:i/>
          <w:iCs/>
          <w:sz w:val="24"/>
          <w:szCs w:val="24"/>
          <w:lang w:val="fi-FI" w:eastAsia="en-AU" w:bidi="ar-SA"/>
        </w:rPr>
        <w:t xml:space="preserve"> </w:t>
      </w:r>
      <w:proofErr w:type="spellStart"/>
      <w:r w:rsidRPr="00C16486">
        <w:rPr>
          <w:rFonts w:ascii="Times New Roman" w:eastAsia="Cambria" w:hAnsi="Times New Roman" w:cs="Times New Roman"/>
          <w:i/>
          <w:iCs/>
          <w:sz w:val="24"/>
          <w:szCs w:val="24"/>
          <w:lang w:val="fi-FI" w:eastAsia="en-AU" w:bidi="ar-SA"/>
        </w:rPr>
        <w:t>Review</w:t>
      </w:r>
      <w:proofErr w:type="spellEnd"/>
      <w:r w:rsidRPr="00C16486">
        <w:rPr>
          <w:rFonts w:ascii="Times New Roman" w:eastAsia="Cambria" w:hAnsi="Times New Roman" w:cs="Times New Roman"/>
          <w:sz w:val="24"/>
          <w:szCs w:val="24"/>
          <w:lang w:val="fi-FI" w:eastAsia="en-AU" w:bidi="ar-SA"/>
        </w:rPr>
        <w:t xml:space="preserve"> 10, no. 1 (2022): 1–18.</w:t>
      </w:r>
    </w:p>
    <w:p w14:paraId="4819DD97"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fi-FI" w:eastAsia="en-AU" w:bidi="ar-SA"/>
        </w:rPr>
        <w:t>Permata</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Rika</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Ratna</w:t>
      </w:r>
      <w:proofErr w:type="spellEnd"/>
      <w:r w:rsidRPr="00C16486">
        <w:rPr>
          <w:rFonts w:ascii="Times New Roman" w:eastAsia="Cambria" w:hAnsi="Times New Roman" w:cs="Times New Roman"/>
          <w:sz w:val="24"/>
          <w:szCs w:val="24"/>
          <w:lang w:val="fi-FI" w:eastAsia="en-AU" w:bidi="ar-SA"/>
        </w:rPr>
        <w:t>. "</w:t>
      </w:r>
      <w:proofErr w:type="spellStart"/>
      <w:r w:rsidRPr="00C16486">
        <w:rPr>
          <w:rFonts w:ascii="Times New Roman" w:eastAsia="Cambria" w:hAnsi="Times New Roman" w:cs="Times New Roman"/>
          <w:sz w:val="24"/>
          <w:szCs w:val="24"/>
          <w:lang w:val="fi-FI" w:eastAsia="en-AU" w:bidi="ar-SA"/>
        </w:rPr>
        <w:t>Efektivitas</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Lembaga</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Manajemen</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Kolektif</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dalam</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Pengelolaan</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Royalti</w:t>
      </w:r>
      <w:proofErr w:type="spellEnd"/>
      <w:r w:rsidRPr="00C16486">
        <w:rPr>
          <w:rFonts w:ascii="Times New Roman" w:eastAsia="Cambria" w:hAnsi="Times New Roman" w:cs="Times New Roman"/>
          <w:sz w:val="24"/>
          <w:szCs w:val="24"/>
          <w:lang w:val="fi-FI" w:eastAsia="en-AU" w:bidi="ar-SA"/>
        </w:rPr>
        <w:t xml:space="preserve"> </w:t>
      </w:r>
      <w:proofErr w:type="spellStart"/>
      <w:r w:rsidRPr="00C16486">
        <w:rPr>
          <w:rFonts w:ascii="Times New Roman" w:eastAsia="Cambria" w:hAnsi="Times New Roman" w:cs="Times New Roman"/>
          <w:sz w:val="24"/>
          <w:szCs w:val="24"/>
          <w:lang w:val="fi-FI" w:eastAsia="en-AU" w:bidi="ar-SA"/>
        </w:rPr>
        <w:t>Musik</w:t>
      </w:r>
      <w:proofErr w:type="spellEnd"/>
      <w:r w:rsidRPr="00C16486">
        <w:rPr>
          <w:rFonts w:ascii="Times New Roman" w:eastAsia="Cambria" w:hAnsi="Times New Roman" w:cs="Times New Roman"/>
          <w:sz w:val="24"/>
          <w:szCs w:val="24"/>
          <w:lang w:val="fi-FI" w:eastAsia="en-AU" w:bidi="ar-SA"/>
        </w:rPr>
        <w:t xml:space="preserve"> di Indonesia." </w:t>
      </w:r>
      <w:proofErr w:type="spellStart"/>
      <w:r w:rsidRPr="00C16486">
        <w:rPr>
          <w:rFonts w:ascii="Times New Roman" w:eastAsia="Cambria" w:hAnsi="Times New Roman" w:cs="Times New Roman"/>
          <w:i/>
          <w:iCs/>
          <w:sz w:val="24"/>
          <w:szCs w:val="24"/>
          <w:lang w:val="en-AU" w:eastAsia="en-AU" w:bidi="ar-SA"/>
        </w:rPr>
        <w:t>Jurnal</w:t>
      </w:r>
      <w:proofErr w:type="spellEnd"/>
      <w:r w:rsidRPr="00C16486">
        <w:rPr>
          <w:rFonts w:ascii="Times New Roman" w:eastAsia="Cambria" w:hAnsi="Times New Roman" w:cs="Times New Roman"/>
          <w:i/>
          <w:iCs/>
          <w:sz w:val="24"/>
          <w:szCs w:val="24"/>
          <w:lang w:val="en-AU" w:eastAsia="en-AU" w:bidi="ar-SA"/>
        </w:rPr>
        <w:t xml:space="preserve"> </w:t>
      </w:r>
      <w:proofErr w:type="spellStart"/>
      <w:r w:rsidRPr="00C16486">
        <w:rPr>
          <w:rFonts w:ascii="Times New Roman" w:eastAsia="Cambria" w:hAnsi="Times New Roman" w:cs="Times New Roman"/>
          <w:i/>
          <w:iCs/>
          <w:sz w:val="24"/>
          <w:szCs w:val="24"/>
          <w:lang w:val="en-AU" w:eastAsia="en-AU" w:bidi="ar-SA"/>
        </w:rPr>
        <w:t>RechtsVinding</w:t>
      </w:r>
      <w:proofErr w:type="spellEnd"/>
      <w:r w:rsidRPr="00C16486">
        <w:rPr>
          <w:rFonts w:ascii="Times New Roman" w:eastAsia="Cambria" w:hAnsi="Times New Roman" w:cs="Times New Roman"/>
          <w:sz w:val="24"/>
          <w:szCs w:val="24"/>
          <w:lang w:val="en-AU" w:eastAsia="en-AU" w:bidi="ar-SA"/>
        </w:rPr>
        <w:t xml:space="preserve"> (2021).</w:t>
      </w:r>
    </w:p>
    <w:p w14:paraId="2356BCCE"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t>Pinem</w:t>
      </w:r>
      <w:proofErr w:type="spellEnd"/>
      <w:r w:rsidRPr="00C16486">
        <w:rPr>
          <w:rFonts w:ascii="Times New Roman" w:eastAsia="Cambria" w:hAnsi="Times New Roman" w:cs="Times New Roman"/>
          <w:sz w:val="24"/>
          <w:szCs w:val="24"/>
          <w:lang w:val="en-AU" w:eastAsia="en-AU" w:bidi="ar-SA"/>
        </w:rPr>
        <w:t xml:space="preserve">, Rico Frans Jhonatan, and Eka Ratnawati. "Restorative Justice </w:t>
      </w:r>
      <w:proofErr w:type="spellStart"/>
      <w:r w:rsidRPr="00C16486">
        <w:rPr>
          <w:rFonts w:ascii="Times New Roman" w:eastAsia="Cambria" w:hAnsi="Times New Roman" w:cs="Times New Roman"/>
          <w:sz w:val="24"/>
          <w:szCs w:val="24"/>
          <w:lang w:val="en-AU" w:eastAsia="en-AU" w:bidi="ar-SA"/>
        </w:rPr>
        <w:t>dalam</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Tindak</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Pidana</w:t>
      </w:r>
      <w:proofErr w:type="spellEnd"/>
      <w:r w:rsidRPr="00C16486">
        <w:rPr>
          <w:rFonts w:ascii="Times New Roman" w:eastAsia="Cambria" w:hAnsi="Times New Roman" w:cs="Times New Roman"/>
          <w:sz w:val="24"/>
          <w:szCs w:val="24"/>
          <w:lang w:val="en-AU" w:eastAsia="en-AU" w:bidi="ar-SA"/>
        </w:rPr>
        <w:t xml:space="preserve"> Merek (</w:t>
      </w:r>
      <w:proofErr w:type="spellStart"/>
      <w:r w:rsidRPr="00C16486">
        <w:rPr>
          <w:rFonts w:ascii="Times New Roman" w:eastAsia="Cambria" w:hAnsi="Times New Roman" w:cs="Times New Roman"/>
          <w:sz w:val="24"/>
          <w:szCs w:val="24"/>
          <w:lang w:val="en-AU" w:eastAsia="en-AU" w:bidi="ar-SA"/>
        </w:rPr>
        <w:t>Analisis</w:t>
      </w:r>
      <w:proofErr w:type="spellEnd"/>
      <w:r w:rsidRPr="00C16486">
        <w:rPr>
          <w:rFonts w:ascii="Times New Roman" w:eastAsia="Cambria" w:hAnsi="Times New Roman" w:cs="Times New Roman"/>
          <w:sz w:val="24"/>
          <w:szCs w:val="24"/>
          <w:lang w:val="en-AU" w:eastAsia="en-AU" w:bidi="ar-SA"/>
        </w:rPr>
        <w:t xml:space="preserve"> Teori </w:t>
      </w:r>
      <w:proofErr w:type="spellStart"/>
      <w:r w:rsidRPr="00C16486">
        <w:rPr>
          <w:rFonts w:ascii="Times New Roman" w:eastAsia="Cambria" w:hAnsi="Times New Roman" w:cs="Times New Roman"/>
          <w:sz w:val="24"/>
          <w:szCs w:val="24"/>
          <w:lang w:val="en-AU" w:eastAsia="en-AU" w:bidi="ar-SA"/>
        </w:rPr>
        <w:t>Penegakan</w:t>
      </w:r>
      <w:proofErr w:type="spellEnd"/>
      <w:r w:rsidRPr="00C16486">
        <w:rPr>
          <w:rFonts w:ascii="Times New Roman" w:eastAsia="Cambria" w:hAnsi="Times New Roman" w:cs="Times New Roman"/>
          <w:sz w:val="24"/>
          <w:szCs w:val="24"/>
          <w:lang w:val="en-AU" w:eastAsia="en-AU" w:bidi="ar-SA"/>
        </w:rPr>
        <w:t xml:space="preserve"> Hukum)." </w:t>
      </w:r>
      <w:proofErr w:type="spellStart"/>
      <w:r w:rsidRPr="00C16486">
        <w:rPr>
          <w:rFonts w:ascii="Times New Roman" w:eastAsia="Cambria" w:hAnsi="Times New Roman" w:cs="Times New Roman"/>
          <w:i/>
          <w:iCs/>
          <w:sz w:val="24"/>
          <w:szCs w:val="24"/>
          <w:lang w:val="en-AU" w:eastAsia="en-AU" w:bidi="ar-SA"/>
        </w:rPr>
        <w:t>Ensiklopedia</w:t>
      </w:r>
      <w:proofErr w:type="spellEnd"/>
      <w:r w:rsidRPr="00C16486">
        <w:rPr>
          <w:rFonts w:ascii="Times New Roman" w:eastAsia="Cambria" w:hAnsi="Times New Roman" w:cs="Times New Roman"/>
          <w:i/>
          <w:iCs/>
          <w:sz w:val="24"/>
          <w:szCs w:val="24"/>
          <w:lang w:val="en-AU" w:eastAsia="en-AU" w:bidi="ar-SA"/>
        </w:rPr>
        <w:t xml:space="preserve"> of Journal</w:t>
      </w:r>
      <w:r w:rsidRPr="00C16486">
        <w:rPr>
          <w:rFonts w:ascii="Times New Roman" w:eastAsia="Cambria" w:hAnsi="Times New Roman" w:cs="Times New Roman"/>
          <w:sz w:val="24"/>
          <w:szCs w:val="24"/>
          <w:lang w:val="en-AU" w:eastAsia="en-AU" w:bidi="ar-SA"/>
        </w:rPr>
        <w:t xml:space="preserve"> 6, no. 2 (2024).</w:t>
      </w:r>
    </w:p>
    <w:p w14:paraId="5195E13C"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C16486">
        <w:rPr>
          <w:rFonts w:ascii="Times New Roman" w:eastAsia="Cambria" w:hAnsi="Times New Roman" w:cs="Times New Roman"/>
          <w:sz w:val="24"/>
          <w:szCs w:val="24"/>
          <w:lang w:val="en-AU" w:eastAsia="en-AU" w:bidi="ar-SA"/>
        </w:rPr>
        <w:t>Praja</w:t>
      </w:r>
      <w:proofErr w:type="spellEnd"/>
      <w:r w:rsidRPr="00C16486">
        <w:rPr>
          <w:rFonts w:ascii="Times New Roman" w:eastAsia="Cambria" w:hAnsi="Times New Roman" w:cs="Times New Roman"/>
          <w:sz w:val="24"/>
          <w:szCs w:val="24"/>
          <w:lang w:val="en-AU" w:eastAsia="en-AU" w:bidi="ar-SA"/>
        </w:rPr>
        <w:t xml:space="preserve">, Chrisna Bagus Edhita, Budi Agus </w:t>
      </w:r>
      <w:proofErr w:type="spellStart"/>
      <w:r w:rsidRPr="00C16486">
        <w:rPr>
          <w:rFonts w:ascii="Times New Roman" w:eastAsia="Cambria" w:hAnsi="Times New Roman" w:cs="Times New Roman"/>
          <w:sz w:val="24"/>
          <w:szCs w:val="24"/>
          <w:lang w:val="en-AU" w:eastAsia="en-AU" w:bidi="ar-SA"/>
        </w:rPr>
        <w:t>Riswandi</w:t>
      </w:r>
      <w:proofErr w:type="spellEnd"/>
      <w:r w:rsidRPr="00C16486">
        <w:rPr>
          <w:rFonts w:ascii="Times New Roman" w:eastAsia="Cambria" w:hAnsi="Times New Roman" w:cs="Times New Roman"/>
          <w:sz w:val="24"/>
          <w:szCs w:val="24"/>
          <w:lang w:val="en-AU" w:eastAsia="en-AU" w:bidi="ar-SA"/>
        </w:rPr>
        <w:t xml:space="preserve">, and </w:t>
      </w:r>
      <w:proofErr w:type="spellStart"/>
      <w:r w:rsidRPr="00C16486">
        <w:rPr>
          <w:rFonts w:ascii="Times New Roman" w:eastAsia="Cambria" w:hAnsi="Times New Roman" w:cs="Times New Roman"/>
          <w:sz w:val="24"/>
          <w:szCs w:val="24"/>
          <w:lang w:val="en-AU" w:eastAsia="en-AU" w:bidi="ar-SA"/>
        </w:rPr>
        <w:t>Khudzaifah</w:t>
      </w:r>
      <w:proofErr w:type="spellEnd"/>
      <w:r w:rsidRPr="00C16486">
        <w:rPr>
          <w:rFonts w:ascii="Times New Roman" w:eastAsia="Cambria" w:hAnsi="Times New Roman" w:cs="Times New Roman"/>
          <w:sz w:val="24"/>
          <w:szCs w:val="24"/>
          <w:lang w:val="en-AU" w:eastAsia="en-AU" w:bidi="ar-SA"/>
        </w:rPr>
        <w:t xml:space="preserve"> Dimyati. "</w:t>
      </w:r>
      <w:proofErr w:type="spellStart"/>
      <w:r w:rsidRPr="00C16486">
        <w:rPr>
          <w:rFonts w:ascii="Times New Roman" w:eastAsia="Cambria" w:hAnsi="Times New Roman" w:cs="Times New Roman"/>
          <w:sz w:val="24"/>
          <w:szCs w:val="24"/>
          <w:lang w:val="en-AU" w:eastAsia="en-AU" w:bidi="ar-SA"/>
        </w:rPr>
        <w:t>Mediasi</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sebagai</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Alternatif</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Penyelesaian</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Sengketa</w:t>
      </w:r>
      <w:proofErr w:type="spellEnd"/>
      <w:r w:rsidRPr="00C16486">
        <w:rPr>
          <w:rFonts w:ascii="Times New Roman" w:eastAsia="Cambria" w:hAnsi="Times New Roman" w:cs="Times New Roman"/>
          <w:sz w:val="24"/>
          <w:szCs w:val="24"/>
          <w:lang w:val="en-AU" w:eastAsia="en-AU" w:bidi="ar-SA"/>
        </w:rPr>
        <w:t xml:space="preserve"> Hak Cipta </w:t>
      </w:r>
      <w:proofErr w:type="spellStart"/>
      <w:r w:rsidRPr="00C16486">
        <w:rPr>
          <w:rFonts w:ascii="Times New Roman" w:eastAsia="Cambria" w:hAnsi="Times New Roman" w:cs="Times New Roman"/>
          <w:sz w:val="24"/>
          <w:szCs w:val="24"/>
          <w:lang w:val="en-AU" w:eastAsia="en-AU" w:bidi="ar-SA"/>
        </w:rPr>
        <w:t>Buku</w:t>
      </w:r>
      <w:proofErr w:type="spellEnd"/>
      <w:r w:rsidRPr="00C16486">
        <w:rPr>
          <w:rFonts w:ascii="Times New Roman" w:eastAsia="Cambria" w:hAnsi="Times New Roman" w:cs="Times New Roman"/>
          <w:sz w:val="24"/>
          <w:szCs w:val="24"/>
          <w:lang w:val="en-AU" w:eastAsia="en-AU" w:bidi="ar-SA"/>
        </w:rPr>
        <w:t xml:space="preserve"> Elektronik </w:t>
      </w:r>
      <w:proofErr w:type="spellStart"/>
      <w:r w:rsidRPr="00C16486">
        <w:rPr>
          <w:rFonts w:ascii="Times New Roman" w:eastAsia="Cambria" w:hAnsi="Times New Roman" w:cs="Times New Roman"/>
          <w:sz w:val="24"/>
          <w:szCs w:val="24"/>
          <w:lang w:val="en-AU" w:eastAsia="en-AU" w:bidi="ar-SA"/>
        </w:rPr>
        <w:t>Kekayaan</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Intelektual</w:t>
      </w:r>
      <w:proofErr w:type="spellEnd"/>
      <w:r w:rsidRPr="00C16486">
        <w:rPr>
          <w:rFonts w:ascii="Times New Roman" w:eastAsia="Cambria" w:hAnsi="Times New Roman" w:cs="Times New Roman"/>
          <w:sz w:val="24"/>
          <w:szCs w:val="24"/>
          <w:lang w:val="en-AU" w:eastAsia="en-AU" w:bidi="ar-SA"/>
        </w:rPr>
        <w:t xml:space="preserve"> di Indonesia." </w:t>
      </w:r>
      <w:proofErr w:type="spellStart"/>
      <w:r w:rsidRPr="00C16486">
        <w:rPr>
          <w:rFonts w:ascii="Times New Roman" w:eastAsia="Cambria" w:hAnsi="Times New Roman" w:cs="Times New Roman"/>
          <w:i/>
          <w:iCs/>
          <w:sz w:val="24"/>
          <w:szCs w:val="24"/>
          <w:lang w:val="en-AU" w:eastAsia="en-AU" w:bidi="ar-SA"/>
        </w:rPr>
        <w:t>Jurnal</w:t>
      </w:r>
      <w:proofErr w:type="spellEnd"/>
      <w:r w:rsidRPr="00C16486">
        <w:rPr>
          <w:rFonts w:ascii="Times New Roman" w:eastAsia="Cambria" w:hAnsi="Times New Roman" w:cs="Times New Roman"/>
          <w:i/>
          <w:iCs/>
          <w:sz w:val="24"/>
          <w:szCs w:val="24"/>
          <w:lang w:val="en-AU" w:eastAsia="en-AU" w:bidi="ar-SA"/>
        </w:rPr>
        <w:t xml:space="preserve"> Hukum</w:t>
      </w:r>
      <w:r w:rsidRPr="00C16486">
        <w:rPr>
          <w:rFonts w:ascii="Times New Roman" w:eastAsia="Cambria" w:hAnsi="Times New Roman" w:cs="Times New Roman"/>
          <w:sz w:val="24"/>
          <w:szCs w:val="24"/>
          <w:lang w:val="en-AU" w:eastAsia="en-AU" w:bidi="ar-SA"/>
        </w:rPr>
        <w:t xml:space="preserve"> 6, no. 1 (2023): 141–57.</w:t>
      </w:r>
    </w:p>
    <w:p w14:paraId="7DEE8FB0" w14:textId="77777777" w:rsidR="00C16486" w:rsidRPr="00C16486" w:rsidRDefault="00C16486"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C16486">
        <w:rPr>
          <w:rFonts w:ascii="Times New Roman" w:eastAsia="Cambria" w:hAnsi="Times New Roman" w:cs="Times New Roman"/>
          <w:sz w:val="24"/>
          <w:szCs w:val="24"/>
          <w:lang w:val="en-AU" w:eastAsia="en-AU" w:bidi="ar-SA"/>
        </w:rPr>
        <w:t xml:space="preserve">Rizki, </w:t>
      </w:r>
      <w:proofErr w:type="spellStart"/>
      <w:r w:rsidRPr="00C16486">
        <w:rPr>
          <w:rFonts w:ascii="Times New Roman" w:eastAsia="Cambria" w:hAnsi="Times New Roman" w:cs="Times New Roman"/>
          <w:sz w:val="24"/>
          <w:szCs w:val="24"/>
          <w:lang w:val="en-AU" w:eastAsia="en-AU" w:bidi="ar-SA"/>
        </w:rPr>
        <w:t>Miftahur</w:t>
      </w:r>
      <w:proofErr w:type="spellEnd"/>
      <w:r w:rsidRPr="00C16486">
        <w:rPr>
          <w:rFonts w:ascii="Times New Roman" w:eastAsia="Cambria" w:hAnsi="Times New Roman" w:cs="Times New Roman"/>
          <w:sz w:val="24"/>
          <w:szCs w:val="24"/>
          <w:lang w:val="en-AU" w:eastAsia="en-AU" w:bidi="ar-SA"/>
        </w:rPr>
        <w:t>. "</w:t>
      </w:r>
      <w:proofErr w:type="spellStart"/>
      <w:r w:rsidRPr="00C16486">
        <w:rPr>
          <w:rFonts w:ascii="Times New Roman" w:eastAsia="Cambria" w:hAnsi="Times New Roman" w:cs="Times New Roman"/>
          <w:sz w:val="24"/>
          <w:szCs w:val="24"/>
          <w:lang w:val="en-AU" w:eastAsia="en-AU" w:bidi="ar-SA"/>
        </w:rPr>
        <w:t>Konsekuensi</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Keuangan</w:t>
      </w:r>
      <w:proofErr w:type="spellEnd"/>
      <w:r w:rsidRPr="00C16486">
        <w:rPr>
          <w:rFonts w:ascii="Times New Roman" w:eastAsia="Cambria" w:hAnsi="Times New Roman" w:cs="Times New Roman"/>
          <w:sz w:val="24"/>
          <w:szCs w:val="24"/>
          <w:lang w:val="en-AU" w:eastAsia="en-AU" w:bidi="ar-SA"/>
        </w:rPr>
        <w:t xml:space="preserve"> dan Hukum </w:t>
      </w:r>
      <w:proofErr w:type="spellStart"/>
      <w:r w:rsidRPr="00C16486">
        <w:rPr>
          <w:rFonts w:ascii="Times New Roman" w:eastAsia="Cambria" w:hAnsi="Times New Roman" w:cs="Times New Roman"/>
          <w:sz w:val="24"/>
          <w:szCs w:val="24"/>
          <w:lang w:val="en-AU" w:eastAsia="en-AU" w:bidi="ar-SA"/>
        </w:rPr>
        <w:t>atas</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Pelanggaran</w:t>
      </w:r>
      <w:proofErr w:type="spellEnd"/>
      <w:r w:rsidRPr="00C16486">
        <w:rPr>
          <w:rFonts w:ascii="Times New Roman" w:eastAsia="Cambria" w:hAnsi="Times New Roman" w:cs="Times New Roman"/>
          <w:sz w:val="24"/>
          <w:szCs w:val="24"/>
          <w:lang w:val="en-AU" w:eastAsia="en-AU" w:bidi="ar-SA"/>
        </w:rPr>
        <w:t xml:space="preserve"> Hak Cipta </w:t>
      </w:r>
      <w:proofErr w:type="spellStart"/>
      <w:r w:rsidRPr="00C16486">
        <w:rPr>
          <w:rFonts w:ascii="Times New Roman" w:eastAsia="Cambria" w:hAnsi="Times New Roman" w:cs="Times New Roman"/>
          <w:sz w:val="24"/>
          <w:szCs w:val="24"/>
          <w:lang w:val="en-AU" w:eastAsia="en-AU" w:bidi="ar-SA"/>
        </w:rPr>
        <w:t>dalam</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Penampilan</w:t>
      </w:r>
      <w:proofErr w:type="spellEnd"/>
      <w:r w:rsidRPr="00C16486">
        <w:rPr>
          <w:rFonts w:ascii="Times New Roman" w:eastAsia="Cambria" w:hAnsi="Times New Roman" w:cs="Times New Roman"/>
          <w:sz w:val="24"/>
          <w:szCs w:val="24"/>
          <w:lang w:val="en-AU" w:eastAsia="en-AU" w:bidi="ar-SA"/>
        </w:rPr>
        <w:t xml:space="preserve"> Publik: Studi </w:t>
      </w:r>
      <w:proofErr w:type="spellStart"/>
      <w:r w:rsidRPr="00C16486">
        <w:rPr>
          <w:rFonts w:ascii="Times New Roman" w:eastAsia="Cambria" w:hAnsi="Times New Roman" w:cs="Times New Roman"/>
          <w:sz w:val="24"/>
          <w:szCs w:val="24"/>
          <w:lang w:val="en-AU" w:eastAsia="en-AU" w:bidi="ar-SA"/>
        </w:rPr>
        <w:t>Kasus</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Penyelesaian</w:t>
      </w:r>
      <w:proofErr w:type="spellEnd"/>
      <w:r w:rsidRPr="00C16486">
        <w:rPr>
          <w:rFonts w:ascii="Times New Roman" w:eastAsia="Cambria" w:hAnsi="Times New Roman" w:cs="Times New Roman"/>
          <w:sz w:val="24"/>
          <w:szCs w:val="24"/>
          <w:lang w:val="en-AU" w:eastAsia="en-AU" w:bidi="ar-SA"/>
        </w:rPr>
        <w:t xml:space="preserve"> </w:t>
      </w:r>
      <w:proofErr w:type="spellStart"/>
      <w:r w:rsidRPr="00C16486">
        <w:rPr>
          <w:rFonts w:ascii="Times New Roman" w:eastAsia="Cambria" w:hAnsi="Times New Roman" w:cs="Times New Roman"/>
          <w:sz w:val="24"/>
          <w:szCs w:val="24"/>
          <w:lang w:val="en-AU" w:eastAsia="en-AU" w:bidi="ar-SA"/>
        </w:rPr>
        <w:t>Sengketa</w:t>
      </w:r>
      <w:proofErr w:type="spellEnd"/>
      <w:r w:rsidRPr="00C16486">
        <w:rPr>
          <w:rFonts w:ascii="Times New Roman" w:eastAsia="Cambria" w:hAnsi="Times New Roman" w:cs="Times New Roman"/>
          <w:sz w:val="24"/>
          <w:szCs w:val="24"/>
          <w:lang w:val="en-AU" w:eastAsia="en-AU" w:bidi="ar-SA"/>
        </w:rPr>
        <w:t xml:space="preserve"> Royalti Musik pada Mie </w:t>
      </w:r>
      <w:proofErr w:type="spellStart"/>
      <w:r w:rsidRPr="00C16486">
        <w:rPr>
          <w:rFonts w:ascii="Times New Roman" w:eastAsia="Cambria" w:hAnsi="Times New Roman" w:cs="Times New Roman"/>
          <w:sz w:val="24"/>
          <w:szCs w:val="24"/>
          <w:lang w:val="en-AU" w:eastAsia="en-AU" w:bidi="ar-SA"/>
        </w:rPr>
        <w:t>Gacoan</w:t>
      </w:r>
      <w:proofErr w:type="spellEnd"/>
      <w:r w:rsidRPr="00C16486">
        <w:rPr>
          <w:rFonts w:ascii="Times New Roman" w:eastAsia="Cambria" w:hAnsi="Times New Roman" w:cs="Times New Roman"/>
          <w:sz w:val="24"/>
          <w:szCs w:val="24"/>
          <w:lang w:val="en-AU" w:eastAsia="en-AU" w:bidi="ar-SA"/>
        </w:rPr>
        <w:t xml:space="preserve"> Bali." </w:t>
      </w:r>
      <w:proofErr w:type="spellStart"/>
      <w:r w:rsidRPr="00C16486">
        <w:rPr>
          <w:rFonts w:ascii="Times New Roman" w:eastAsia="Cambria" w:hAnsi="Times New Roman" w:cs="Times New Roman"/>
          <w:i/>
          <w:iCs/>
          <w:sz w:val="24"/>
          <w:szCs w:val="24"/>
          <w:lang w:val="en-AU" w:eastAsia="en-AU" w:bidi="ar-SA"/>
        </w:rPr>
        <w:t>Aliansi</w:t>
      </w:r>
      <w:proofErr w:type="spellEnd"/>
      <w:r w:rsidRPr="00C16486">
        <w:rPr>
          <w:rFonts w:ascii="Times New Roman" w:eastAsia="Cambria" w:hAnsi="Times New Roman" w:cs="Times New Roman"/>
          <w:i/>
          <w:iCs/>
          <w:sz w:val="24"/>
          <w:szCs w:val="24"/>
          <w:lang w:val="en-AU" w:eastAsia="en-AU" w:bidi="ar-SA"/>
        </w:rPr>
        <w:t xml:space="preserve">: </w:t>
      </w:r>
      <w:proofErr w:type="spellStart"/>
      <w:r w:rsidRPr="00C16486">
        <w:rPr>
          <w:rFonts w:ascii="Times New Roman" w:eastAsia="Cambria" w:hAnsi="Times New Roman" w:cs="Times New Roman"/>
          <w:i/>
          <w:iCs/>
          <w:sz w:val="24"/>
          <w:szCs w:val="24"/>
          <w:lang w:val="en-AU" w:eastAsia="en-AU" w:bidi="ar-SA"/>
        </w:rPr>
        <w:t>Jurnal</w:t>
      </w:r>
      <w:proofErr w:type="spellEnd"/>
      <w:r w:rsidRPr="00C16486">
        <w:rPr>
          <w:rFonts w:ascii="Times New Roman" w:eastAsia="Cambria" w:hAnsi="Times New Roman" w:cs="Times New Roman"/>
          <w:i/>
          <w:iCs/>
          <w:sz w:val="24"/>
          <w:szCs w:val="24"/>
          <w:lang w:val="en-AU" w:eastAsia="en-AU" w:bidi="ar-SA"/>
        </w:rPr>
        <w:t xml:space="preserve"> Hukum, Pendidikan dan </w:t>
      </w:r>
      <w:proofErr w:type="spellStart"/>
      <w:r w:rsidRPr="00C16486">
        <w:rPr>
          <w:rFonts w:ascii="Times New Roman" w:eastAsia="Cambria" w:hAnsi="Times New Roman" w:cs="Times New Roman"/>
          <w:i/>
          <w:iCs/>
          <w:sz w:val="24"/>
          <w:szCs w:val="24"/>
          <w:lang w:val="en-AU" w:eastAsia="en-AU" w:bidi="ar-SA"/>
        </w:rPr>
        <w:t>Sosial</w:t>
      </w:r>
      <w:proofErr w:type="spellEnd"/>
      <w:r w:rsidRPr="00C16486">
        <w:rPr>
          <w:rFonts w:ascii="Times New Roman" w:eastAsia="Cambria" w:hAnsi="Times New Roman" w:cs="Times New Roman"/>
          <w:i/>
          <w:iCs/>
          <w:sz w:val="24"/>
          <w:szCs w:val="24"/>
          <w:lang w:val="en-AU" w:eastAsia="en-AU" w:bidi="ar-SA"/>
        </w:rPr>
        <w:t xml:space="preserve"> </w:t>
      </w:r>
      <w:proofErr w:type="spellStart"/>
      <w:r w:rsidRPr="00C16486">
        <w:rPr>
          <w:rFonts w:ascii="Times New Roman" w:eastAsia="Cambria" w:hAnsi="Times New Roman" w:cs="Times New Roman"/>
          <w:i/>
          <w:iCs/>
          <w:sz w:val="24"/>
          <w:szCs w:val="24"/>
          <w:lang w:val="en-AU" w:eastAsia="en-AU" w:bidi="ar-SA"/>
        </w:rPr>
        <w:t>Humaniora</w:t>
      </w:r>
      <w:proofErr w:type="spellEnd"/>
      <w:r w:rsidRPr="00C16486">
        <w:rPr>
          <w:rFonts w:ascii="Times New Roman" w:eastAsia="Cambria" w:hAnsi="Times New Roman" w:cs="Times New Roman"/>
          <w:sz w:val="24"/>
          <w:szCs w:val="24"/>
          <w:lang w:val="en-AU" w:eastAsia="en-AU" w:bidi="ar-SA"/>
        </w:rPr>
        <w:t xml:space="preserve"> 2, no. 6 (2025): 256–66.</w:t>
      </w:r>
    </w:p>
    <w:p w14:paraId="7023EFBC" w14:textId="01424693" w:rsidR="00A90240" w:rsidRPr="00653E1C" w:rsidRDefault="00653E1C" w:rsidP="00653E1C">
      <w:pPr>
        <w:spacing w:before="240" w:after="0"/>
        <w:ind w:left="284"/>
        <w:jc w:val="center"/>
        <w:rPr>
          <w:rFonts w:ascii="Cambria" w:eastAsia="EB Garamond" w:hAnsi="Cambria" w:cs="EB Garamond"/>
          <w:b/>
          <w:bCs/>
          <w:color w:val="215B57"/>
          <w:szCs w:val="22"/>
          <w:lang w:val="en-AU"/>
        </w:rPr>
      </w:pPr>
      <w:r w:rsidRPr="00653E1C">
        <w:rPr>
          <w:rFonts w:ascii="Cambria" w:eastAsia="EB Garamond" w:hAnsi="Cambria" w:cs="EB Garamond"/>
          <w:b/>
          <w:bCs/>
          <w:color w:val="215B57"/>
          <w:szCs w:val="22"/>
          <w:lang w:val="en-AU"/>
        </w:rPr>
        <w:t>Institutional Reports and Media Sources</w:t>
      </w:r>
      <w:r w:rsidR="00000000" w:rsidRPr="00C626FA">
        <w:rPr>
          <w:rFonts w:ascii="Cambria" w:eastAsia="EB Garamond" w:hAnsi="Cambria" w:cs="EB Garamond"/>
          <w:b/>
          <w:bCs/>
          <w:color w:val="215B57"/>
          <w:szCs w:val="22"/>
        </w:rPr>
        <w:t>:</w:t>
      </w:r>
    </w:p>
    <w:p w14:paraId="7BADC4D4"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653E1C">
        <w:rPr>
          <w:rFonts w:ascii="Times New Roman" w:eastAsia="Cambria" w:hAnsi="Times New Roman" w:cs="Times New Roman"/>
          <w:sz w:val="24"/>
          <w:szCs w:val="24"/>
          <w:lang w:val="en-AU" w:eastAsia="en-AU" w:bidi="ar-SA"/>
        </w:rPr>
        <w:t>Direktorat</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Jenderal</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Kekayaan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Intelektual</w:t>
      </w:r>
      <w:proofErr w:type="spellEnd"/>
      <w:r w:rsidRPr="00653E1C">
        <w:rPr>
          <w:rFonts w:ascii="Times New Roman" w:eastAsia="Cambria" w:hAnsi="Times New Roman" w:cs="Times New Roman"/>
          <w:sz w:val="24"/>
          <w:szCs w:val="24"/>
          <w:lang w:val="en-AU" w:eastAsia="en-AU" w:bidi="ar-SA"/>
        </w:rPr>
        <w:t xml:space="preserve">. "LMKN </w:t>
      </w:r>
      <w:proofErr w:type="spellStart"/>
      <w:r w:rsidRPr="00653E1C">
        <w:rPr>
          <w:rFonts w:ascii="Times New Roman" w:eastAsia="Cambria" w:hAnsi="Times New Roman" w:cs="Times New Roman"/>
          <w:sz w:val="24"/>
          <w:szCs w:val="24"/>
          <w:lang w:val="en-AU" w:eastAsia="en-AU" w:bidi="ar-SA"/>
        </w:rPr>
        <w:t>Cetak</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Rekor</w:t>
      </w:r>
      <w:proofErr w:type="spellEnd"/>
      <w:r w:rsidRPr="00653E1C">
        <w:rPr>
          <w:rFonts w:ascii="Times New Roman" w:eastAsia="Cambria" w:hAnsi="Times New Roman" w:cs="Times New Roman"/>
          <w:sz w:val="24"/>
          <w:szCs w:val="24"/>
          <w:lang w:val="en-AU" w:eastAsia="en-AU" w:bidi="ar-SA"/>
        </w:rPr>
        <w:t xml:space="preserve"> Royalti, DJKI </w:t>
      </w:r>
      <w:proofErr w:type="spellStart"/>
      <w:r w:rsidRPr="00653E1C">
        <w:rPr>
          <w:rFonts w:ascii="Times New Roman" w:eastAsia="Cambria" w:hAnsi="Times New Roman" w:cs="Times New Roman"/>
          <w:sz w:val="24"/>
          <w:szCs w:val="24"/>
          <w:lang w:val="en-AU" w:eastAsia="en-AU" w:bidi="ar-SA"/>
        </w:rPr>
        <w:t>Aktif</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Dorong</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Transparansi</w:t>
      </w:r>
      <w:proofErr w:type="spellEnd"/>
      <w:r w:rsidRPr="00653E1C">
        <w:rPr>
          <w:rFonts w:ascii="Times New Roman" w:eastAsia="Cambria" w:hAnsi="Times New Roman" w:cs="Times New Roman"/>
          <w:sz w:val="24"/>
          <w:szCs w:val="24"/>
          <w:lang w:val="en-AU" w:eastAsia="en-AU" w:bidi="ar-SA"/>
        </w:rPr>
        <w:t xml:space="preserve"> dan Penguatan </w:t>
      </w:r>
      <w:proofErr w:type="spellStart"/>
      <w:r w:rsidRPr="00653E1C">
        <w:rPr>
          <w:rFonts w:ascii="Times New Roman" w:eastAsia="Cambria" w:hAnsi="Times New Roman" w:cs="Times New Roman"/>
          <w:sz w:val="24"/>
          <w:szCs w:val="24"/>
          <w:lang w:val="en-AU" w:eastAsia="en-AU" w:bidi="ar-SA"/>
        </w:rPr>
        <w:t>Sistem</w:t>
      </w:r>
      <w:proofErr w:type="spellEnd"/>
      <w:r w:rsidRPr="00653E1C">
        <w:rPr>
          <w:rFonts w:ascii="Times New Roman" w:eastAsia="Cambria" w:hAnsi="Times New Roman" w:cs="Times New Roman"/>
          <w:sz w:val="24"/>
          <w:szCs w:val="24"/>
          <w:lang w:val="en-AU" w:eastAsia="en-AU" w:bidi="ar-SA"/>
        </w:rPr>
        <w:t xml:space="preserve"> Hak Cipta." dgip.go.id, 2025.</w:t>
      </w:r>
    </w:p>
    <w:p w14:paraId="5464E104"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Kementerian Hukum Republik Indonesia. "</w:t>
      </w:r>
      <w:proofErr w:type="spellStart"/>
      <w:r w:rsidRPr="00653E1C">
        <w:rPr>
          <w:rFonts w:ascii="Times New Roman" w:eastAsia="Cambria" w:hAnsi="Times New Roman" w:cs="Times New Roman"/>
          <w:sz w:val="24"/>
          <w:szCs w:val="24"/>
          <w:lang w:val="en-AU" w:eastAsia="en-AU" w:bidi="ar-SA"/>
        </w:rPr>
        <w:t>Pelantikan</w:t>
      </w:r>
      <w:proofErr w:type="spellEnd"/>
      <w:r w:rsidRPr="00653E1C">
        <w:rPr>
          <w:rFonts w:ascii="Times New Roman" w:eastAsia="Cambria" w:hAnsi="Times New Roman" w:cs="Times New Roman"/>
          <w:sz w:val="24"/>
          <w:szCs w:val="24"/>
          <w:lang w:val="en-AU" w:eastAsia="en-AU" w:bidi="ar-SA"/>
        </w:rPr>
        <w:t xml:space="preserve"> LMKN: Royalti Aman, Kreator Nyaman." dgip.go.id, 8 August 2025.</w:t>
      </w:r>
    </w:p>
    <w:p w14:paraId="3D1934CA"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Kementerian Hukum Republik Indonesia. "</w:t>
      </w:r>
      <w:proofErr w:type="spellStart"/>
      <w:r w:rsidRPr="00653E1C">
        <w:rPr>
          <w:rFonts w:ascii="Times New Roman" w:eastAsia="Cambria" w:hAnsi="Times New Roman" w:cs="Times New Roman"/>
          <w:sz w:val="24"/>
          <w:szCs w:val="24"/>
          <w:lang w:val="en-AU" w:eastAsia="en-AU" w:bidi="ar-SA"/>
        </w:rPr>
        <w:t>Pemerintah</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Terbitkan</w:t>
      </w:r>
      <w:proofErr w:type="spellEnd"/>
      <w:r w:rsidRPr="00653E1C">
        <w:rPr>
          <w:rFonts w:ascii="Times New Roman" w:eastAsia="Cambria" w:hAnsi="Times New Roman" w:cs="Times New Roman"/>
          <w:sz w:val="24"/>
          <w:szCs w:val="24"/>
          <w:lang w:val="en-AU" w:eastAsia="en-AU" w:bidi="ar-SA"/>
        </w:rPr>
        <w:t xml:space="preserve"> Surat </w:t>
      </w:r>
      <w:proofErr w:type="spellStart"/>
      <w:r w:rsidRPr="00653E1C">
        <w:rPr>
          <w:rFonts w:ascii="Times New Roman" w:eastAsia="Cambria" w:hAnsi="Times New Roman" w:cs="Times New Roman"/>
          <w:sz w:val="24"/>
          <w:szCs w:val="24"/>
          <w:lang w:val="en-AU" w:eastAsia="en-AU" w:bidi="ar-SA"/>
        </w:rPr>
        <w:t>Edaran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Kewajiban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Pembayaran</w:t>
      </w:r>
      <w:proofErr w:type="spellEnd"/>
      <w:r w:rsidRPr="00653E1C">
        <w:rPr>
          <w:rFonts w:ascii="Times New Roman" w:eastAsia="Cambria" w:hAnsi="Times New Roman" w:cs="Times New Roman"/>
          <w:sz w:val="24"/>
          <w:szCs w:val="24"/>
          <w:lang w:val="en-AU" w:eastAsia="en-AU" w:bidi="ar-SA"/>
        </w:rPr>
        <w:t xml:space="preserve"> Royalti Lagu dan/Musik di Ruang Publik </w:t>
      </w:r>
      <w:proofErr w:type="spellStart"/>
      <w:r w:rsidRPr="00653E1C">
        <w:rPr>
          <w:rFonts w:ascii="Times New Roman" w:eastAsia="Cambria" w:hAnsi="Times New Roman" w:cs="Times New Roman"/>
          <w:sz w:val="24"/>
          <w:szCs w:val="24"/>
          <w:lang w:val="en-AU" w:eastAsia="en-AU" w:bidi="ar-SA"/>
        </w:rPr>
        <w:t>Komersial</w:t>
      </w:r>
      <w:proofErr w:type="spellEnd"/>
      <w:r w:rsidRPr="00653E1C">
        <w:rPr>
          <w:rFonts w:ascii="Times New Roman" w:eastAsia="Cambria" w:hAnsi="Times New Roman" w:cs="Times New Roman"/>
          <w:sz w:val="24"/>
          <w:szCs w:val="24"/>
          <w:lang w:val="en-AU" w:eastAsia="en-AU" w:bidi="ar-SA"/>
        </w:rPr>
        <w:t>." djpp.kemenkum.go.id, 30 December 2025.</w:t>
      </w:r>
    </w:p>
    <w:p w14:paraId="0B0AF729"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 xml:space="preserve">Kompas.com. "Tarif Royalti Musik </w:t>
      </w:r>
      <w:proofErr w:type="spellStart"/>
      <w:r w:rsidRPr="00653E1C">
        <w:rPr>
          <w:rFonts w:ascii="Times New Roman" w:eastAsia="Cambria" w:hAnsi="Times New Roman" w:cs="Times New Roman"/>
          <w:sz w:val="24"/>
          <w:szCs w:val="24"/>
          <w:lang w:val="en-AU" w:eastAsia="en-AU" w:bidi="ar-SA"/>
        </w:rPr>
        <w:t>untuk</w:t>
      </w:r>
      <w:proofErr w:type="spellEnd"/>
      <w:r w:rsidRPr="00653E1C">
        <w:rPr>
          <w:rFonts w:ascii="Times New Roman" w:eastAsia="Cambria" w:hAnsi="Times New Roman" w:cs="Times New Roman"/>
          <w:sz w:val="24"/>
          <w:szCs w:val="24"/>
          <w:lang w:val="en-AU" w:eastAsia="en-AU" w:bidi="ar-SA"/>
        </w:rPr>
        <w:t xml:space="preserve"> Kafe dan </w:t>
      </w:r>
      <w:proofErr w:type="spellStart"/>
      <w:r w:rsidRPr="00653E1C">
        <w:rPr>
          <w:rFonts w:ascii="Times New Roman" w:eastAsia="Cambria" w:hAnsi="Times New Roman" w:cs="Times New Roman"/>
          <w:sz w:val="24"/>
          <w:szCs w:val="24"/>
          <w:lang w:val="en-AU" w:eastAsia="en-AU" w:bidi="ar-SA"/>
        </w:rPr>
        <w:t>Restoran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Begini</w:t>
      </w:r>
      <w:proofErr w:type="spellEnd"/>
      <w:r w:rsidRPr="00653E1C">
        <w:rPr>
          <w:rFonts w:ascii="Times New Roman" w:eastAsia="Cambria" w:hAnsi="Times New Roman" w:cs="Times New Roman"/>
          <w:sz w:val="24"/>
          <w:szCs w:val="24"/>
          <w:lang w:val="en-AU" w:eastAsia="en-AU" w:bidi="ar-SA"/>
        </w:rPr>
        <w:t xml:space="preserve"> Cara </w:t>
      </w:r>
      <w:proofErr w:type="spellStart"/>
      <w:r w:rsidRPr="00653E1C">
        <w:rPr>
          <w:rFonts w:ascii="Times New Roman" w:eastAsia="Cambria" w:hAnsi="Times New Roman" w:cs="Times New Roman"/>
          <w:sz w:val="24"/>
          <w:szCs w:val="24"/>
          <w:lang w:val="en-AU" w:eastAsia="en-AU" w:bidi="ar-SA"/>
        </w:rPr>
        <w:t>Hitungnya</w:t>
      </w:r>
      <w:proofErr w:type="spellEnd"/>
      <w:r w:rsidRPr="00653E1C">
        <w:rPr>
          <w:rFonts w:ascii="Times New Roman" w:eastAsia="Cambria" w:hAnsi="Times New Roman" w:cs="Times New Roman"/>
          <w:sz w:val="24"/>
          <w:szCs w:val="24"/>
          <w:lang w:val="en-AU" w:eastAsia="en-AU" w:bidi="ar-SA"/>
        </w:rPr>
        <w:t>." money.kompas.com, 10 August 2025.</w:t>
      </w:r>
    </w:p>
    <w:p w14:paraId="3EB8A833"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 xml:space="preserve">Lembaga </w:t>
      </w:r>
      <w:proofErr w:type="spellStart"/>
      <w:r w:rsidRPr="00653E1C">
        <w:rPr>
          <w:rFonts w:ascii="Times New Roman" w:eastAsia="Cambria" w:hAnsi="Times New Roman" w:cs="Times New Roman"/>
          <w:sz w:val="24"/>
          <w:szCs w:val="24"/>
          <w:lang w:val="en-AU" w:eastAsia="en-AU" w:bidi="ar-SA"/>
        </w:rPr>
        <w:t>Manajemen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Kolektif</w:t>
      </w:r>
      <w:proofErr w:type="spellEnd"/>
      <w:r w:rsidRPr="00653E1C">
        <w:rPr>
          <w:rFonts w:ascii="Times New Roman" w:eastAsia="Cambria" w:hAnsi="Times New Roman" w:cs="Times New Roman"/>
          <w:sz w:val="24"/>
          <w:szCs w:val="24"/>
          <w:lang w:val="en-AU" w:eastAsia="en-AU" w:bidi="ar-SA"/>
        </w:rPr>
        <w:t xml:space="preserve"> Nasional. "Kinerja LMKN 2025 </w:t>
      </w:r>
      <w:proofErr w:type="spellStart"/>
      <w:r w:rsidRPr="00653E1C">
        <w:rPr>
          <w:rFonts w:ascii="Times New Roman" w:eastAsia="Cambria" w:hAnsi="Times New Roman" w:cs="Times New Roman"/>
          <w:sz w:val="24"/>
          <w:szCs w:val="24"/>
          <w:lang w:val="en-AU" w:eastAsia="en-AU" w:bidi="ar-SA"/>
        </w:rPr>
        <w:t>dalam</w:t>
      </w:r>
      <w:proofErr w:type="spellEnd"/>
      <w:r w:rsidRPr="00653E1C">
        <w:rPr>
          <w:rFonts w:ascii="Times New Roman" w:eastAsia="Cambria" w:hAnsi="Times New Roman" w:cs="Times New Roman"/>
          <w:sz w:val="24"/>
          <w:szCs w:val="24"/>
          <w:lang w:val="en-AU" w:eastAsia="en-AU" w:bidi="ar-SA"/>
        </w:rPr>
        <w:t xml:space="preserve"> Angka: </w:t>
      </w:r>
      <w:proofErr w:type="spellStart"/>
      <w:r w:rsidRPr="00653E1C">
        <w:rPr>
          <w:rFonts w:ascii="Times New Roman" w:eastAsia="Cambria" w:hAnsi="Times New Roman" w:cs="Times New Roman"/>
          <w:sz w:val="24"/>
          <w:szCs w:val="24"/>
          <w:lang w:val="en-AU" w:eastAsia="en-AU" w:bidi="ar-SA"/>
        </w:rPr>
        <w:t>Penghimpunan</w:t>
      </w:r>
      <w:proofErr w:type="spellEnd"/>
      <w:r w:rsidRPr="00653E1C">
        <w:rPr>
          <w:rFonts w:ascii="Times New Roman" w:eastAsia="Cambria" w:hAnsi="Times New Roman" w:cs="Times New Roman"/>
          <w:sz w:val="24"/>
          <w:szCs w:val="24"/>
          <w:lang w:val="en-AU" w:eastAsia="en-AU" w:bidi="ar-SA"/>
        </w:rPr>
        <w:t xml:space="preserve"> dan </w:t>
      </w:r>
      <w:proofErr w:type="spellStart"/>
      <w:r w:rsidRPr="00653E1C">
        <w:rPr>
          <w:rFonts w:ascii="Times New Roman" w:eastAsia="Cambria" w:hAnsi="Times New Roman" w:cs="Times New Roman"/>
          <w:sz w:val="24"/>
          <w:szCs w:val="24"/>
          <w:lang w:val="en-AU" w:eastAsia="en-AU" w:bidi="ar-SA"/>
        </w:rPr>
        <w:t>Distribusi</w:t>
      </w:r>
      <w:proofErr w:type="spellEnd"/>
      <w:r w:rsidRPr="00653E1C">
        <w:rPr>
          <w:rFonts w:ascii="Times New Roman" w:eastAsia="Cambria" w:hAnsi="Times New Roman" w:cs="Times New Roman"/>
          <w:sz w:val="24"/>
          <w:szCs w:val="24"/>
          <w:lang w:val="en-AU" w:eastAsia="en-AU" w:bidi="ar-SA"/>
        </w:rPr>
        <w:t xml:space="preserve"> Royalti." lmkn.id, 2026.</w:t>
      </w:r>
    </w:p>
    <w:p w14:paraId="4D19913B"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653E1C">
        <w:rPr>
          <w:rFonts w:ascii="Times New Roman" w:eastAsia="Cambria" w:hAnsi="Times New Roman" w:cs="Times New Roman"/>
          <w:sz w:val="24"/>
          <w:szCs w:val="24"/>
          <w:lang w:val="en-AU" w:eastAsia="en-AU" w:bidi="ar-SA"/>
        </w:rPr>
        <w:t>Mahkamah</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Konstitusi</w:t>
      </w:r>
      <w:proofErr w:type="spellEnd"/>
      <w:r w:rsidRPr="00653E1C">
        <w:rPr>
          <w:rFonts w:ascii="Times New Roman" w:eastAsia="Cambria" w:hAnsi="Times New Roman" w:cs="Times New Roman"/>
          <w:sz w:val="24"/>
          <w:szCs w:val="24"/>
          <w:lang w:val="en-AU" w:eastAsia="en-AU" w:bidi="ar-SA"/>
        </w:rPr>
        <w:t xml:space="preserve"> RI. "Parameter </w:t>
      </w:r>
      <w:proofErr w:type="spellStart"/>
      <w:r w:rsidRPr="00653E1C">
        <w:rPr>
          <w:rFonts w:ascii="Times New Roman" w:eastAsia="Cambria" w:hAnsi="Times New Roman" w:cs="Times New Roman"/>
          <w:sz w:val="24"/>
          <w:szCs w:val="24"/>
          <w:lang w:val="en-AU" w:eastAsia="en-AU" w:bidi="ar-SA"/>
        </w:rPr>
        <w:t>Penentuan</w:t>
      </w:r>
      <w:proofErr w:type="spellEnd"/>
      <w:r w:rsidRPr="00653E1C">
        <w:rPr>
          <w:rFonts w:ascii="Times New Roman" w:eastAsia="Cambria" w:hAnsi="Times New Roman" w:cs="Times New Roman"/>
          <w:sz w:val="24"/>
          <w:szCs w:val="24"/>
          <w:lang w:val="en-AU" w:eastAsia="en-AU" w:bidi="ar-SA"/>
        </w:rPr>
        <w:t xml:space="preserve"> Royalti </w:t>
      </w:r>
      <w:proofErr w:type="spellStart"/>
      <w:r w:rsidRPr="00653E1C">
        <w:rPr>
          <w:rFonts w:ascii="Times New Roman" w:eastAsia="Cambria" w:hAnsi="Times New Roman" w:cs="Times New Roman"/>
          <w:sz w:val="24"/>
          <w:szCs w:val="24"/>
          <w:lang w:val="en-AU" w:eastAsia="en-AU" w:bidi="ar-SA"/>
        </w:rPr>
        <w:t>Diatur</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dalam</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Peraturan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Perundang-Undangan</w:t>
      </w:r>
      <w:proofErr w:type="spellEnd"/>
      <w:r w:rsidRPr="00653E1C">
        <w:rPr>
          <w:rFonts w:ascii="Times New Roman" w:eastAsia="Cambria" w:hAnsi="Times New Roman" w:cs="Times New Roman"/>
          <w:sz w:val="24"/>
          <w:szCs w:val="24"/>
          <w:lang w:val="en-AU" w:eastAsia="en-AU" w:bidi="ar-SA"/>
        </w:rPr>
        <w:t>." mkri.id, 17 December 2025.</w:t>
      </w:r>
    </w:p>
    <w:p w14:paraId="68E56311"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653E1C">
        <w:rPr>
          <w:rFonts w:ascii="Times New Roman" w:eastAsia="Cambria" w:hAnsi="Times New Roman" w:cs="Times New Roman"/>
          <w:sz w:val="24"/>
          <w:szCs w:val="24"/>
          <w:lang w:val="en-AU" w:eastAsia="en-AU" w:bidi="ar-SA"/>
        </w:rPr>
        <w:lastRenderedPageBreak/>
        <w:t>Mahkamah</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Konstitusi</w:t>
      </w:r>
      <w:proofErr w:type="spellEnd"/>
      <w:r w:rsidRPr="00653E1C">
        <w:rPr>
          <w:rFonts w:ascii="Times New Roman" w:eastAsia="Cambria" w:hAnsi="Times New Roman" w:cs="Times New Roman"/>
          <w:sz w:val="24"/>
          <w:szCs w:val="24"/>
          <w:lang w:val="en-AU" w:eastAsia="en-AU" w:bidi="ar-SA"/>
        </w:rPr>
        <w:t xml:space="preserve"> RI. "UU Hak Cipta, </w:t>
      </w:r>
      <w:proofErr w:type="spellStart"/>
      <w:r w:rsidRPr="00653E1C">
        <w:rPr>
          <w:rFonts w:ascii="Times New Roman" w:eastAsia="Cambria" w:hAnsi="Times New Roman" w:cs="Times New Roman"/>
          <w:sz w:val="24"/>
          <w:szCs w:val="24"/>
          <w:lang w:val="en-AU" w:eastAsia="en-AU" w:bidi="ar-SA"/>
        </w:rPr>
        <w:t>Tuntutan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Pidana</w:t>
      </w:r>
      <w:proofErr w:type="spellEnd"/>
      <w:r w:rsidRPr="00653E1C">
        <w:rPr>
          <w:rFonts w:ascii="Times New Roman" w:eastAsia="Cambria" w:hAnsi="Times New Roman" w:cs="Times New Roman"/>
          <w:sz w:val="24"/>
          <w:szCs w:val="24"/>
          <w:lang w:val="en-AU" w:eastAsia="en-AU" w:bidi="ar-SA"/>
        </w:rPr>
        <w:t xml:space="preserve"> Dapat </w:t>
      </w:r>
      <w:proofErr w:type="spellStart"/>
      <w:r w:rsidRPr="00653E1C">
        <w:rPr>
          <w:rFonts w:ascii="Times New Roman" w:eastAsia="Cambria" w:hAnsi="Times New Roman" w:cs="Times New Roman"/>
          <w:sz w:val="24"/>
          <w:szCs w:val="24"/>
          <w:lang w:val="en-AU" w:eastAsia="en-AU" w:bidi="ar-SA"/>
        </w:rPr>
        <w:t>Ditempuh</w:t>
      </w:r>
      <w:proofErr w:type="spellEnd"/>
      <w:r w:rsidRPr="00653E1C">
        <w:rPr>
          <w:rFonts w:ascii="Times New Roman" w:eastAsia="Cambria" w:hAnsi="Times New Roman" w:cs="Times New Roman"/>
          <w:sz w:val="24"/>
          <w:szCs w:val="24"/>
          <w:lang w:val="en-AU" w:eastAsia="en-AU" w:bidi="ar-SA"/>
        </w:rPr>
        <w:t xml:space="preserve"> Jika Upaya </w:t>
      </w:r>
      <w:proofErr w:type="spellStart"/>
      <w:r w:rsidRPr="00653E1C">
        <w:rPr>
          <w:rFonts w:ascii="Times New Roman" w:eastAsia="Cambria" w:hAnsi="Times New Roman" w:cs="Times New Roman"/>
          <w:sz w:val="24"/>
          <w:szCs w:val="24"/>
          <w:lang w:val="en-AU" w:eastAsia="en-AU" w:bidi="ar-SA"/>
        </w:rPr>
        <w:t>Perdata</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Gagal</w:t>
      </w:r>
      <w:proofErr w:type="spellEnd"/>
      <w:r w:rsidRPr="00653E1C">
        <w:rPr>
          <w:rFonts w:ascii="Times New Roman" w:eastAsia="Cambria" w:hAnsi="Times New Roman" w:cs="Times New Roman"/>
          <w:sz w:val="24"/>
          <w:szCs w:val="24"/>
          <w:lang w:val="en-AU" w:eastAsia="en-AU" w:bidi="ar-SA"/>
        </w:rPr>
        <w:t>." mkri.id, 30 June 2025.</w:t>
      </w:r>
    </w:p>
    <w:p w14:paraId="43166CD3"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 xml:space="preserve">Merdeka.com. "Polda Bali </w:t>
      </w:r>
      <w:proofErr w:type="spellStart"/>
      <w:r w:rsidRPr="00653E1C">
        <w:rPr>
          <w:rFonts w:ascii="Times New Roman" w:eastAsia="Cambria" w:hAnsi="Times New Roman" w:cs="Times New Roman"/>
          <w:sz w:val="24"/>
          <w:szCs w:val="24"/>
          <w:lang w:val="en-AU" w:eastAsia="en-AU" w:bidi="ar-SA"/>
        </w:rPr>
        <w:t>Akhirnya</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Hentikan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Kasus</w:t>
      </w:r>
      <w:proofErr w:type="spellEnd"/>
      <w:r w:rsidRPr="00653E1C">
        <w:rPr>
          <w:rFonts w:ascii="Times New Roman" w:eastAsia="Cambria" w:hAnsi="Times New Roman" w:cs="Times New Roman"/>
          <w:sz w:val="24"/>
          <w:szCs w:val="24"/>
          <w:lang w:val="en-AU" w:eastAsia="en-AU" w:bidi="ar-SA"/>
        </w:rPr>
        <w:t xml:space="preserve"> Royalti Musik Mie Gacoan </w:t>
      </w:r>
      <w:proofErr w:type="spellStart"/>
      <w:r w:rsidRPr="00653E1C">
        <w:rPr>
          <w:rFonts w:ascii="Times New Roman" w:eastAsia="Cambria" w:hAnsi="Times New Roman" w:cs="Times New Roman"/>
          <w:sz w:val="24"/>
          <w:szCs w:val="24"/>
          <w:lang w:val="en-AU" w:eastAsia="en-AU" w:bidi="ar-SA"/>
        </w:rPr>
        <w:t>Setelah</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Pembayaran</w:t>
      </w:r>
      <w:proofErr w:type="spellEnd"/>
      <w:r w:rsidRPr="00653E1C">
        <w:rPr>
          <w:rFonts w:ascii="Times New Roman" w:eastAsia="Cambria" w:hAnsi="Times New Roman" w:cs="Times New Roman"/>
          <w:sz w:val="24"/>
          <w:szCs w:val="24"/>
          <w:lang w:val="en-AU" w:eastAsia="en-AU" w:bidi="ar-SA"/>
        </w:rPr>
        <w:t xml:space="preserve"> Rp 2,2 </w:t>
      </w:r>
      <w:proofErr w:type="spellStart"/>
      <w:r w:rsidRPr="00653E1C">
        <w:rPr>
          <w:rFonts w:ascii="Times New Roman" w:eastAsia="Cambria" w:hAnsi="Times New Roman" w:cs="Times New Roman"/>
          <w:sz w:val="24"/>
          <w:szCs w:val="24"/>
          <w:lang w:val="en-AU" w:eastAsia="en-AU" w:bidi="ar-SA"/>
        </w:rPr>
        <w:t>Miliar</w:t>
      </w:r>
      <w:proofErr w:type="spellEnd"/>
      <w:r w:rsidRPr="00653E1C">
        <w:rPr>
          <w:rFonts w:ascii="Times New Roman" w:eastAsia="Cambria" w:hAnsi="Times New Roman" w:cs="Times New Roman"/>
          <w:sz w:val="24"/>
          <w:szCs w:val="24"/>
          <w:lang w:val="en-AU" w:eastAsia="en-AU" w:bidi="ar-SA"/>
        </w:rPr>
        <w:t>." merdeka.com, 29 August 2025.</w:t>
      </w:r>
    </w:p>
    <w:p w14:paraId="4E59B8D6"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proofErr w:type="spellStart"/>
      <w:r w:rsidRPr="00653E1C">
        <w:rPr>
          <w:rFonts w:ascii="Times New Roman" w:eastAsia="Cambria" w:hAnsi="Times New Roman" w:cs="Times New Roman"/>
          <w:sz w:val="24"/>
          <w:szCs w:val="24"/>
          <w:lang w:val="en-AU" w:eastAsia="en-AU" w:bidi="ar-SA"/>
        </w:rPr>
        <w:t>NusaBali</w:t>
      </w:r>
      <w:proofErr w:type="spellEnd"/>
      <w:r w:rsidRPr="00653E1C">
        <w:rPr>
          <w:rFonts w:ascii="Times New Roman" w:eastAsia="Cambria" w:hAnsi="Times New Roman" w:cs="Times New Roman"/>
          <w:sz w:val="24"/>
          <w:szCs w:val="24"/>
          <w:lang w:val="en-AU" w:eastAsia="en-AU" w:bidi="ar-SA"/>
        </w:rPr>
        <w:t xml:space="preserve">. "Royalti Rp 2,2 </w:t>
      </w:r>
      <w:proofErr w:type="spellStart"/>
      <w:r w:rsidRPr="00653E1C">
        <w:rPr>
          <w:rFonts w:ascii="Times New Roman" w:eastAsia="Cambria" w:hAnsi="Times New Roman" w:cs="Times New Roman"/>
          <w:sz w:val="24"/>
          <w:szCs w:val="24"/>
          <w:lang w:val="en-AU" w:eastAsia="en-AU" w:bidi="ar-SA"/>
        </w:rPr>
        <w:t>Miliar</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Dibayarkan</w:t>
      </w:r>
      <w:proofErr w:type="spellEnd"/>
      <w:r w:rsidRPr="00653E1C">
        <w:rPr>
          <w:rFonts w:ascii="Times New Roman" w:eastAsia="Cambria" w:hAnsi="Times New Roman" w:cs="Times New Roman"/>
          <w:sz w:val="24"/>
          <w:szCs w:val="24"/>
          <w:lang w:val="en-AU" w:eastAsia="en-AU" w:bidi="ar-SA"/>
        </w:rPr>
        <w:t xml:space="preserve">, Mie </w:t>
      </w:r>
      <w:proofErr w:type="spellStart"/>
      <w:r w:rsidRPr="00653E1C">
        <w:rPr>
          <w:rFonts w:ascii="Times New Roman" w:eastAsia="Cambria" w:hAnsi="Times New Roman" w:cs="Times New Roman"/>
          <w:sz w:val="24"/>
          <w:szCs w:val="24"/>
          <w:lang w:val="en-AU" w:eastAsia="en-AU" w:bidi="ar-SA"/>
        </w:rPr>
        <w:t>Gacoan</w:t>
      </w:r>
      <w:proofErr w:type="spellEnd"/>
      <w:r w:rsidRPr="00653E1C">
        <w:rPr>
          <w:rFonts w:ascii="Times New Roman" w:eastAsia="Cambria" w:hAnsi="Times New Roman" w:cs="Times New Roman"/>
          <w:sz w:val="24"/>
          <w:szCs w:val="24"/>
          <w:lang w:val="en-AU" w:eastAsia="en-AU" w:bidi="ar-SA"/>
        </w:rPr>
        <w:t xml:space="preserve"> dan LMK SELMI </w:t>
      </w:r>
      <w:proofErr w:type="spellStart"/>
      <w:r w:rsidRPr="00653E1C">
        <w:rPr>
          <w:rFonts w:ascii="Times New Roman" w:eastAsia="Cambria" w:hAnsi="Times New Roman" w:cs="Times New Roman"/>
          <w:sz w:val="24"/>
          <w:szCs w:val="24"/>
          <w:lang w:val="en-AU" w:eastAsia="en-AU" w:bidi="ar-SA"/>
        </w:rPr>
        <w:t>Sepakat</w:t>
      </w:r>
      <w:proofErr w:type="spellEnd"/>
      <w:r w:rsidRPr="00653E1C">
        <w:rPr>
          <w:rFonts w:ascii="Times New Roman" w:eastAsia="Cambria" w:hAnsi="Times New Roman" w:cs="Times New Roman"/>
          <w:sz w:val="24"/>
          <w:szCs w:val="24"/>
          <w:lang w:val="en-AU" w:eastAsia="en-AU" w:bidi="ar-SA"/>
        </w:rPr>
        <w:t xml:space="preserve"> Damai." nusabali.com, 8 August 2025.</w:t>
      </w:r>
    </w:p>
    <w:p w14:paraId="6314CFF1"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 xml:space="preserve">Radar Bali. "Bayar Royalti Rp 2,2 M, Status </w:t>
      </w:r>
      <w:proofErr w:type="spellStart"/>
      <w:r w:rsidRPr="00653E1C">
        <w:rPr>
          <w:rFonts w:ascii="Times New Roman" w:eastAsia="Cambria" w:hAnsi="Times New Roman" w:cs="Times New Roman"/>
          <w:sz w:val="24"/>
          <w:szCs w:val="24"/>
          <w:lang w:val="en-AU" w:eastAsia="en-AU" w:bidi="ar-SA"/>
        </w:rPr>
        <w:t>Tersangka</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Direktur</w:t>
      </w:r>
      <w:proofErr w:type="spellEnd"/>
      <w:r w:rsidRPr="00653E1C">
        <w:rPr>
          <w:rFonts w:ascii="Times New Roman" w:eastAsia="Cambria" w:hAnsi="Times New Roman" w:cs="Times New Roman"/>
          <w:sz w:val="24"/>
          <w:szCs w:val="24"/>
          <w:lang w:val="en-AU" w:eastAsia="en-AU" w:bidi="ar-SA"/>
        </w:rPr>
        <w:t xml:space="preserve"> Mie Gacoan Bakal </w:t>
      </w:r>
      <w:proofErr w:type="spellStart"/>
      <w:r w:rsidRPr="00653E1C">
        <w:rPr>
          <w:rFonts w:ascii="Times New Roman" w:eastAsia="Cambria" w:hAnsi="Times New Roman" w:cs="Times New Roman"/>
          <w:sz w:val="24"/>
          <w:szCs w:val="24"/>
          <w:lang w:val="en-AU" w:eastAsia="en-AU" w:bidi="ar-SA"/>
        </w:rPr>
        <w:t>Dicabut</w:t>
      </w:r>
      <w:proofErr w:type="spellEnd"/>
      <w:r w:rsidRPr="00653E1C">
        <w:rPr>
          <w:rFonts w:ascii="Times New Roman" w:eastAsia="Cambria" w:hAnsi="Times New Roman" w:cs="Times New Roman"/>
          <w:sz w:val="24"/>
          <w:szCs w:val="24"/>
          <w:lang w:val="en-AU" w:eastAsia="en-AU" w:bidi="ar-SA"/>
        </w:rPr>
        <w:t>." radarbali.jawapos.com, 9 August 2025.</w:t>
      </w:r>
    </w:p>
    <w:p w14:paraId="307A4777" w14:textId="77777777" w:rsidR="00653E1C" w:rsidRPr="00653E1C" w:rsidRDefault="00653E1C" w:rsidP="00C16486">
      <w:pPr>
        <w:spacing w:before="240" w:after="100" w:line="240" w:lineRule="auto"/>
        <w:ind w:left="720" w:hanging="720"/>
        <w:jc w:val="both"/>
        <w:rPr>
          <w:rFonts w:ascii="Times New Roman" w:eastAsia="Cambria" w:hAnsi="Times New Roman" w:cs="Times New Roman"/>
          <w:sz w:val="24"/>
          <w:szCs w:val="24"/>
          <w:lang w:val="en-AU" w:eastAsia="en-AU" w:bidi="ar-SA"/>
        </w:rPr>
      </w:pPr>
      <w:r w:rsidRPr="00653E1C">
        <w:rPr>
          <w:rFonts w:ascii="Times New Roman" w:eastAsia="Cambria" w:hAnsi="Times New Roman" w:cs="Times New Roman"/>
          <w:sz w:val="24"/>
          <w:szCs w:val="24"/>
          <w:lang w:val="en-AU" w:eastAsia="en-AU" w:bidi="ar-SA"/>
        </w:rPr>
        <w:t>Tempo.co. "</w:t>
      </w:r>
      <w:proofErr w:type="spellStart"/>
      <w:r w:rsidRPr="00653E1C">
        <w:rPr>
          <w:rFonts w:ascii="Times New Roman" w:eastAsia="Cambria" w:hAnsi="Times New Roman" w:cs="Times New Roman"/>
          <w:sz w:val="24"/>
          <w:szCs w:val="24"/>
          <w:lang w:val="en-AU" w:eastAsia="en-AU" w:bidi="ar-SA"/>
        </w:rPr>
        <w:t>Penagihan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Pembayaran</w:t>
      </w:r>
      <w:proofErr w:type="spellEnd"/>
      <w:r w:rsidRPr="00653E1C">
        <w:rPr>
          <w:rFonts w:ascii="Times New Roman" w:eastAsia="Cambria" w:hAnsi="Times New Roman" w:cs="Times New Roman"/>
          <w:sz w:val="24"/>
          <w:szCs w:val="24"/>
          <w:lang w:val="en-AU" w:eastAsia="en-AU" w:bidi="ar-SA"/>
        </w:rPr>
        <w:t xml:space="preserve"> Royalti Mie Gacoan </w:t>
      </w:r>
      <w:proofErr w:type="spellStart"/>
      <w:r w:rsidRPr="00653E1C">
        <w:rPr>
          <w:rFonts w:ascii="Times New Roman" w:eastAsia="Cambria" w:hAnsi="Times New Roman" w:cs="Times New Roman"/>
          <w:sz w:val="24"/>
          <w:szCs w:val="24"/>
          <w:lang w:val="en-AU" w:eastAsia="en-AU" w:bidi="ar-SA"/>
        </w:rPr>
        <w:t>Sudah</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Dilakukan</w:t>
      </w:r>
      <w:proofErr w:type="spellEnd"/>
      <w:r w:rsidRPr="00653E1C">
        <w:rPr>
          <w:rFonts w:ascii="Times New Roman" w:eastAsia="Cambria" w:hAnsi="Times New Roman" w:cs="Times New Roman"/>
          <w:sz w:val="24"/>
          <w:szCs w:val="24"/>
          <w:lang w:val="en-AU" w:eastAsia="en-AU" w:bidi="ar-SA"/>
        </w:rPr>
        <w:t xml:space="preserve"> </w:t>
      </w:r>
      <w:proofErr w:type="spellStart"/>
      <w:r w:rsidRPr="00653E1C">
        <w:rPr>
          <w:rFonts w:ascii="Times New Roman" w:eastAsia="Cambria" w:hAnsi="Times New Roman" w:cs="Times New Roman"/>
          <w:sz w:val="24"/>
          <w:szCs w:val="24"/>
          <w:lang w:val="en-AU" w:eastAsia="en-AU" w:bidi="ar-SA"/>
        </w:rPr>
        <w:t>Sejak</w:t>
      </w:r>
      <w:proofErr w:type="spellEnd"/>
      <w:r w:rsidRPr="00653E1C">
        <w:rPr>
          <w:rFonts w:ascii="Times New Roman" w:eastAsia="Cambria" w:hAnsi="Times New Roman" w:cs="Times New Roman"/>
          <w:sz w:val="24"/>
          <w:szCs w:val="24"/>
          <w:lang w:val="en-AU" w:eastAsia="en-AU" w:bidi="ar-SA"/>
        </w:rPr>
        <w:t xml:space="preserve"> 2022." tempo.co, 21 August 2025.</w:t>
      </w:r>
    </w:p>
    <w:p w14:paraId="5135B772" w14:textId="77777777" w:rsidR="00A90240" w:rsidRPr="00653E1C" w:rsidRDefault="00A90240">
      <w:pPr>
        <w:spacing w:after="0" w:line="240" w:lineRule="auto"/>
        <w:rPr>
          <w:rFonts w:ascii="Cambria" w:eastAsia="EB Garamond" w:hAnsi="Cambria" w:cs="EB Garamond"/>
          <w:sz w:val="24"/>
          <w:szCs w:val="24"/>
          <w:lang w:val="en-AU"/>
        </w:rPr>
      </w:pPr>
    </w:p>
    <w:p w14:paraId="14CB7B44" w14:textId="77777777" w:rsidR="00A90240" w:rsidRDefault="00A90240">
      <w:pPr>
        <w:spacing w:after="0" w:line="240" w:lineRule="auto"/>
        <w:rPr>
          <w:rFonts w:ascii="EB Garamond" w:eastAsia="EB Garamond" w:hAnsi="EB Garamond" w:cs="EB Garamond"/>
          <w:sz w:val="24"/>
          <w:szCs w:val="24"/>
        </w:rPr>
      </w:pPr>
    </w:p>
    <w:p w14:paraId="5D4493ED" w14:textId="77777777" w:rsidR="00A90240" w:rsidRDefault="00A90240">
      <w:pPr>
        <w:spacing w:after="0" w:line="240" w:lineRule="auto"/>
        <w:rPr>
          <w:rFonts w:ascii="EB Garamond" w:eastAsia="EB Garamond" w:hAnsi="EB Garamond" w:cs="EB Garamond"/>
          <w:sz w:val="24"/>
          <w:szCs w:val="24"/>
        </w:rPr>
      </w:pPr>
    </w:p>
    <w:p w14:paraId="2AEBDC17" w14:textId="77777777" w:rsidR="00A90240" w:rsidRDefault="00A90240">
      <w:pPr>
        <w:spacing w:after="0" w:line="240" w:lineRule="auto"/>
        <w:rPr>
          <w:rFonts w:ascii="EB Garamond" w:eastAsia="EB Garamond" w:hAnsi="EB Garamond" w:cs="EB Garamond"/>
          <w:sz w:val="24"/>
          <w:szCs w:val="24"/>
        </w:rPr>
      </w:pPr>
    </w:p>
    <w:p w14:paraId="356734E6" w14:textId="77777777" w:rsidR="00A90240" w:rsidRDefault="00A90240">
      <w:pPr>
        <w:spacing w:after="0" w:line="240" w:lineRule="auto"/>
        <w:rPr>
          <w:rFonts w:ascii="EB Garamond" w:eastAsia="EB Garamond" w:hAnsi="EB Garamond" w:cs="EB Garamond"/>
          <w:sz w:val="24"/>
          <w:szCs w:val="24"/>
        </w:rPr>
      </w:pPr>
    </w:p>
    <w:p w14:paraId="53652D86" w14:textId="77777777" w:rsidR="00A90240" w:rsidRDefault="00A90240">
      <w:pPr>
        <w:spacing w:after="0" w:line="240" w:lineRule="auto"/>
        <w:rPr>
          <w:rFonts w:ascii="EB Garamond" w:eastAsia="EB Garamond" w:hAnsi="EB Garamond" w:cs="EB Garamond"/>
          <w:sz w:val="24"/>
          <w:szCs w:val="24"/>
        </w:rPr>
      </w:pPr>
    </w:p>
    <w:p w14:paraId="6B9062F1" w14:textId="77777777" w:rsidR="00A90240" w:rsidRDefault="00A90240">
      <w:pPr>
        <w:spacing w:after="0" w:line="240" w:lineRule="auto"/>
        <w:rPr>
          <w:rFonts w:ascii="EB Garamond" w:eastAsia="EB Garamond" w:hAnsi="EB Garamond" w:cs="EB Garamond"/>
          <w:sz w:val="24"/>
          <w:szCs w:val="24"/>
        </w:rPr>
      </w:pPr>
    </w:p>
    <w:p w14:paraId="1D309BA8" w14:textId="77777777" w:rsidR="00A90240" w:rsidRDefault="00A90240">
      <w:pPr>
        <w:spacing w:after="0" w:line="240" w:lineRule="auto"/>
        <w:rPr>
          <w:rFonts w:ascii="EB Garamond" w:eastAsia="EB Garamond" w:hAnsi="EB Garamond" w:cs="EB Garamond"/>
          <w:sz w:val="24"/>
          <w:szCs w:val="24"/>
        </w:rPr>
      </w:pPr>
    </w:p>
    <w:sectPr w:rsidR="00A90240" w:rsidSect="006E68E3">
      <w:headerReference w:type="even" r:id="rId11"/>
      <w:headerReference w:type="default" r:id="rId12"/>
      <w:footerReference w:type="even" r:id="rId13"/>
      <w:footerReference w:type="default" r:id="rId14"/>
      <w:headerReference w:type="first" r:id="rId15"/>
      <w:footerReference w:type="first" r:id="rId16"/>
      <w:pgSz w:w="11906" w:h="16838"/>
      <w:pgMar w:top="1701" w:right="1701" w:bottom="1701" w:left="1701" w:header="720" w:footer="720" w:gutter="0"/>
      <w:pgNumType w:start="4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CF848" w14:textId="77777777" w:rsidR="00A42D11" w:rsidRDefault="00A42D11">
      <w:pPr>
        <w:spacing w:line="240" w:lineRule="auto"/>
      </w:pPr>
      <w:r>
        <w:separator/>
      </w:r>
    </w:p>
  </w:endnote>
  <w:endnote w:type="continuationSeparator" w:id="0">
    <w:p w14:paraId="44971990" w14:textId="77777777" w:rsidR="00A42D11" w:rsidRDefault="00A42D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7E5EB61-A2D6-4966-9DA9-A8EBAD201CD8}"/>
    <w:embedBold r:id="rId2" w:fontKey="{4BADCD39-38E0-4030-BAB5-F11CFF4C9EA4}"/>
    <w:embedItalic r:id="rId3" w:fontKey="{9DFED2C9-EB52-40F0-96F0-5A525C431E5F}"/>
    <w:embedBoldItalic r:id="rId4" w:fontKey="{777062D1-4CE6-49BE-A43C-AFC3DE35F45C}"/>
  </w:font>
  <w:font w:name="Times New Roman Bold">
    <w:panose1 w:val="02020803070505020304"/>
    <w:charset w:val="00"/>
    <w:family w:val="roman"/>
    <w:notTrueType/>
    <w:pitch w:val="default"/>
    <w:embedRegular r:id="rId5" w:fontKey="{376F2DBD-4C76-4890-9C73-13416EE2290B}"/>
    <w:embedBold r:id="rId6" w:fontKey="{7A3178F2-949F-4E1D-A43D-1779D7AE38B6}"/>
  </w:font>
  <w:font w:name="Tahoma">
    <w:panose1 w:val="020B0604030504040204"/>
    <w:charset w:val="00"/>
    <w:family w:val="swiss"/>
    <w:pitch w:val="variable"/>
    <w:sig w:usb0="E1002EFF" w:usb1="C000605B" w:usb2="00000029" w:usb3="00000000" w:csb0="000101FF" w:csb1="00000000"/>
    <w:embedRegular r:id="rId7" w:fontKey="{324A232D-E566-4ABF-B2D6-3FF2347BDD4C}"/>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8" w:fontKey="{F1C1DED7-39AC-482E-84A6-D56E3A2AB3FB}"/>
    <w:embedItalic r:id="rId9" w:fontKey="{7CA93033-8EDE-4B21-A7A5-6A38BD5FF778}"/>
  </w:font>
  <w:font w:name="Cambria">
    <w:panose1 w:val="02040503050406030204"/>
    <w:charset w:val="00"/>
    <w:family w:val="roman"/>
    <w:pitch w:val="variable"/>
    <w:sig w:usb0="E00006FF" w:usb1="420024FF" w:usb2="02000000" w:usb3="00000000" w:csb0="0000019F" w:csb1="00000000"/>
    <w:embedRegular r:id="rId10" w:fontKey="{4CE746A6-FB2C-4E26-93D2-59707D643DCB}"/>
    <w:embedBold r:id="rId11" w:fontKey="{4BDF9A2D-B5AE-43CC-A202-DD23988D8DBB}"/>
    <w:embedItalic r:id="rId12" w:fontKey="{49923764-E7C3-43EB-8DDE-6EBBF908C414}"/>
    <w:embedBoldItalic r:id="rId13" w:fontKey="{3050D2C8-7D2E-4910-A88E-377732A76561}"/>
  </w:font>
  <w:font w:name="Arial Unicode MS">
    <w:panose1 w:val="020B0604020202020204"/>
    <w:charset w:val="00"/>
    <w:family w:val="roman"/>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embedRegular r:id="rId14" w:fontKey="{6165EA79-A65E-4165-B74C-F297EFF92B79}"/>
  </w:font>
  <w:font w:name="Helvetica">
    <w:panose1 w:val="020B0604020202020204"/>
    <w:charset w:val="00"/>
    <w:family w:val="swiss"/>
    <w:pitch w:val="variable"/>
    <w:sig w:usb0="E0002EFF" w:usb1="C000785B" w:usb2="00000009" w:usb3="00000000" w:csb0="000001FF" w:csb1="00000000"/>
    <w:embedRegular r:id="rId15" w:fontKey="{CD8EB5A4-AE55-4DEB-A956-D5D2CC41B2B5}"/>
  </w:font>
  <w:font w:name="Calibri Light">
    <w:panose1 w:val="020F0302020204030204"/>
    <w:charset w:val="00"/>
    <w:family w:val="swiss"/>
    <w:pitch w:val="variable"/>
    <w:sig w:usb0="E4002EFF" w:usb1="C200247B" w:usb2="00000009" w:usb3="00000000" w:csb0="000001FF" w:csb1="00000000"/>
    <w:embedRegular r:id="rId16" w:fontKey="{9B87A1DD-48C1-4716-A464-6EF11F7523C1}"/>
    <w:embedItalic r:id="rId17" w:fontKey="{C81A2475-6B22-4F61-820F-8892A85A3C4A}"/>
  </w:font>
  <w:font w:name="EB Garamond">
    <w:charset w:val="00"/>
    <w:family w:val="auto"/>
    <w:pitch w:val="variable"/>
    <w:sig w:usb0="E00002FF" w:usb1="02000413" w:usb2="00000000" w:usb3="00000000" w:csb0="0000019F" w:csb1="00000000"/>
    <w:embedRegular r:id="rId18" w:fontKey="{38890D24-1E76-4006-AEA1-6A181D5725D9}"/>
    <w:embedBold r:id="rId19" w:fontKey="{8BE5E81D-9617-44A7-8D73-C9B1BB9B59F9}"/>
    <w:embedItalic r:id="rId20" w:fontKey="{E787EB80-753F-4A13-A29C-4A33AB86FD9F}"/>
    <w:embedBoldItalic r:id="rId21" w:fontKey="{E8135EAC-4C40-4684-B03A-E5C067D91B22}"/>
  </w:font>
  <w:font w:name="Arial">
    <w:panose1 w:val="020B0604020202020204"/>
    <w:charset w:val="00"/>
    <w:family w:val="swiss"/>
    <w:pitch w:val="variable"/>
    <w:sig w:usb0="E0002EFF" w:usb1="C000785B" w:usb2="00000009" w:usb3="00000000" w:csb0="000001FF" w:csb1="00000000"/>
  </w:font>
  <w:font w:name="Bodoni Bd BT">
    <w:altName w:val="Cambria"/>
    <w:panose1 w:val="02070803080706020303"/>
    <w:charset w:val="00"/>
    <w:family w:val="roman"/>
    <w:pitch w:val="variable"/>
    <w:sig w:usb0="800000AF" w:usb1="1000204A" w:usb2="00000000" w:usb3="00000000" w:csb0="00000011" w:csb1="00000000"/>
    <w:embedBoldItalic r:id="rId22" w:fontKey="{92FDBF97-EB66-4B6C-B084-4A73F27C5209}"/>
  </w:font>
  <w:font w:name="Libre Baskerville">
    <w:charset w:val="00"/>
    <w:family w:val="auto"/>
    <w:pitch w:val="variable"/>
    <w:sig w:usb0="A00000BF" w:usb1="5000005B" w:usb2="00000000" w:usb3="00000000" w:csb0="00000093" w:csb1="00000000"/>
    <w:embedRegular r:id="rId23" w:fontKey="{5AADF759-47A8-4602-887B-12AD7401C702}"/>
    <w:embedBoldItalic r:id="rId24" w:fontKey="{53476C12-F790-41D2-A845-9842C2889861}"/>
  </w:font>
  <w:font w:name="High Tower Text">
    <w:panose1 w:val="02040502050506030303"/>
    <w:charset w:val="00"/>
    <w:family w:val="roman"/>
    <w:pitch w:val="variable"/>
    <w:sig w:usb0="00000003" w:usb1="00000000" w:usb2="00000000" w:usb3="00000000" w:csb0="00000001" w:csb1="00000000"/>
    <w:embedBoldItalic r:id="rId25" w:fontKey="{02B484B4-2149-42E8-8CAF-95717776937E}"/>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6AE3" w14:textId="77777777" w:rsidR="00A90240" w:rsidRDefault="00A90240">
    <w:pPr>
      <w:tabs>
        <w:tab w:val="center" w:pos="4680"/>
        <w:tab w:val="right" w:pos="9360"/>
      </w:tabs>
      <w:spacing w:after="0" w:line="240" w:lineRule="auto"/>
      <w:rPr>
        <w:rFonts w:ascii="EB Garamond" w:eastAsia="EB Garamond" w:hAnsi="EB Garamond" w:cs="EB Garamond"/>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09E6" w14:textId="77777777" w:rsidR="00A90240" w:rsidRDefault="00000000">
    <w:pPr>
      <w:pStyle w:val="Footer"/>
      <w:tabs>
        <w:tab w:val="clear" w:pos="4680"/>
        <w:tab w:val="clear" w:pos="9360"/>
      </w:tabs>
      <w:jc w:val="center"/>
      <w:rPr>
        <w:rFonts w:ascii="Cambria" w:hAnsi="Cambria"/>
        <w:b/>
        <w:bCs/>
        <w:caps/>
        <w:color w:val="215B57"/>
      </w:rPr>
    </w:pPr>
    <w:r>
      <w:rPr>
        <w:rFonts w:ascii="Cambria" w:hAnsi="Cambria"/>
        <w:b/>
        <w:bCs/>
        <w:caps/>
        <w:color w:val="215B57"/>
      </w:rPr>
      <w:fldChar w:fldCharType="begin"/>
    </w:r>
    <w:r>
      <w:rPr>
        <w:rFonts w:ascii="Cambria" w:hAnsi="Cambria"/>
        <w:b/>
        <w:bCs/>
        <w:caps/>
        <w:color w:val="215B57"/>
      </w:rPr>
      <w:instrText>PAGE   \* MERGEFORMAT</w:instrText>
    </w:r>
    <w:r>
      <w:rPr>
        <w:rFonts w:ascii="Cambria" w:hAnsi="Cambria"/>
        <w:b/>
        <w:bCs/>
        <w:caps/>
        <w:color w:val="215B57"/>
      </w:rPr>
      <w:fldChar w:fldCharType="separate"/>
    </w:r>
    <w:r>
      <w:rPr>
        <w:rFonts w:ascii="Cambria" w:hAnsi="Cambria"/>
        <w:b/>
        <w:bCs/>
        <w:caps/>
        <w:color w:val="215B57"/>
        <w:lang w:val="id-ID"/>
      </w:rPr>
      <w:t>2</w:t>
    </w:r>
    <w:r>
      <w:rPr>
        <w:rFonts w:ascii="Cambria" w:hAnsi="Cambria"/>
        <w:b/>
        <w:bCs/>
        <w:caps/>
        <w:color w:val="215B57"/>
      </w:rPr>
      <w:fldChar w:fldCharType="end"/>
    </w:r>
  </w:p>
  <w:p w14:paraId="368E84C9" w14:textId="77777777" w:rsidR="00A90240" w:rsidRDefault="00A90240">
    <w:pPr>
      <w:tabs>
        <w:tab w:val="center" w:pos="4680"/>
        <w:tab w:val="right" w:pos="9360"/>
      </w:tabs>
      <w:spacing w:after="0" w:line="240" w:lineRule="auto"/>
      <w:rPr>
        <w:rFonts w:ascii="EB Garamond" w:eastAsia="EB Garamond" w:hAnsi="EB Garamond" w:cs="EB Garamond"/>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5F45" w14:textId="77777777" w:rsidR="00A90240" w:rsidRDefault="00000000">
    <w:pPr>
      <w:pStyle w:val="Footer"/>
      <w:tabs>
        <w:tab w:val="clear" w:pos="4680"/>
        <w:tab w:val="clear" w:pos="9360"/>
      </w:tabs>
      <w:jc w:val="center"/>
      <w:rPr>
        <w:rFonts w:ascii="Cambria" w:hAnsi="Cambria"/>
        <w:b/>
        <w:bCs/>
        <w:caps/>
        <w:color w:val="215B57"/>
      </w:rPr>
    </w:pPr>
    <w:r>
      <w:rPr>
        <w:rFonts w:ascii="Cambria" w:hAnsi="Cambria"/>
        <w:b/>
        <w:bCs/>
        <w:caps/>
        <w:color w:val="215B57"/>
      </w:rPr>
      <w:fldChar w:fldCharType="begin"/>
    </w:r>
    <w:r>
      <w:rPr>
        <w:rFonts w:ascii="Cambria" w:hAnsi="Cambria"/>
        <w:b/>
        <w:bCs/>
        <w:caps/>
        <w:color w:val="215B57"/>
      </w:rPr>
      <w:instrText>PAGE   \* MERGEFORMAT</w:instrText>
    </w:r>
    <w:r>
      <w:rPr>
        <w:rFonts w:ascii="Cambria" w:hAnsi="Cambria"/>
        <w:b/>
        <w:bCs/>
        <w:caps/>
        <w:color w:val="215B57"/>
      </w:rPr>
      <w:fldChar w:fldCharType="separate"/>
    </w:r>
    <w:r>
      <w:rPr>
        <w:rFonts w:ascii="Cambria" w:hAnsi="Cambria"/>
        <w:b/>
        <w:bCs/>
        <w:caps/>
        <w:color w:val="215B57"/>
        <w:lang w:val="id-ID"/>
      </w:rPr>
      <w:t>2</w:t>
    </w:r>
    <w:r>
      <w:rPr>
        <w:rFonts w:ascii="Cambria" w:hAnsi="Cambria"/>
        <w:b/>
        <w:bCs/>
        <w:caps/>
        <w:color w:val="215B57"/>
      </w:rPr>
      <w:fldChar w:fldCharType="end"/>
    </w:r>
  </w:p>
  <w:p w14:paraId="2BEBBBED" w14:textId="77777777" w:rsidR="00A90240" w:rsidRDefault="00A90240">
    <w:pPr>
      <w:tabs>
        <w:tab w:val="center" w:pos="4680"/>
        <w:tab w:val="right" w:pos="9360"/>
      </w:tabs>
      <w:spacing w:after="0" w:line="240" w:lineRule="auto"/>
      <w:rPr>
        <w:color w:val="C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1CAD5" w14:textId="77777777" w:rsidR="00A42D11" w:rsidRDefault="00A42D11">
      <w:pPr>
        <w:spacing w:after="0"/>
      </w:pPr>
      <w:r>
        <w:separator/>
      </w:r>
    </w:p>
  </w:footnote>
  <w:footnote w:type="continuationSeparator" w:id="0">
    <w:p w14:paraId="41B662F9" w14:textId="77777777" w:rsidR="00A42D11" w:rsidRDefault="00A42D11">
      <w:pPr>
        <w:spacing w:after="0"/>
      </w:pPr>
      <w:r>
        <w:continuationSeparator/>
      </w:r>
    </w:p>
  </w:footnote>
  <w:footnote w:id="1">
    <w:p w14:paraId="426EDCB0" w14:textId="77777777" w:rsidR="00F926A9" w:rsidRPr="00F926A9" w:rsidRDefault="00F926A9" w:rsidP="00F926A9">
      <w:pPr>
        <w:spacing w:line="240" w:lineRule="auto"/>
        <w:jc w:val="both"/>
        <w:rPr>
          <w:rFonts w:ascii="Cambria" w:hAnsi="Cambria" w:cs="Cambria"/>
          <w:sz w:val="18"/>
          <w:szCs w:val="18"/>
          <w:lang w:val="en-AU" w:eastAsia="en-AU"/>
        </w:rPr>
      </w:pPr>
      <w:r w:rsidRPr="00F926A9">
        <w:rPr>
          <w:rStyle w:val="FootnoteReference"/>
          <w:rFonts w:ascii="Cambria" w:hAnsi="Cambria"/>
          <w:sz w:val="18"/>
          <w:szCs w:val="18"/>
        </w:rPr>
        <w:footnoteRef/>
      </w:r>
      <w:r w:rsidRPr="00F926A9">
        <w:rPr>
          <w:rFonts w:ascii="Cambria" w:hAnsi="Cambria"/>
          <w:sz w:val="18"/>
          <w:szCs w:val="18"/>
        </w:rPr>
        <w:t xml:space="preserve">Republic of Indonesia, </w:t>
      </w:r>
      <w:r w:rsidRPr="00F926A9">
        <w:rPr>
          <w:rFonts w:ascii="Cambria" w:hAnsi="Cambria"/>
          <w:i/>
          <w:iCs/>
          <w:sz w:val="18"/>
          <w:szCs w:val="18"/>
        </w:rPr>
        <w:t>Law Number 28 of 2014 on Copyright</w:t>
      </w:r>
      <w:r w:rsidRPr="00F926A9">
        <w:rPr>
          <w:rFonts w:ascii="Cambria" w:hAnsi="Cambria"/>
          <w:sz w:val="18"/>
          <w:szCs w:val="18"/>
        </w:rPr>
        <w:t>, State Gazette of the Republic of Indonesia of 2014 Number 266, Supplement to the State Gazette Number 5599.</w:t>
      </w:r>
    </w:p>
  </w:footnote>
  <w:footnote w:id="2">
    <w:p w14:paraId="32152F4B"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r w:rsidRPr="00F926A9">
        <w:rPr>
          <w:rFonts w:ascii="Cambria" w:hAnsi="Cambria"/>
          <w:sz w:val="18"/>
          <w:szCs w:val="18"/>
        </w:rPr>
        <w:t xml:space="preserve">Republic of Indonesia, </w:t>
      </w:r>
      <w:r w:rsidRPr="00F926A9">
        <w:rPr>
          <w:rFonts w:ascii="Cambria" w:hAnsi="Cambria"/>
          <w:i/>
          <w:iCs/>
          <w:sz w:val="18"/>
          <w:szCs w:val="18"/>
        </w:rPr>
        <w:t>Government Regulation Number 56 of 2021 on the Management of Song and/or Music Copyright Royalties</w:t>
      </w:r>
      <w:r w:rsidRPr="00F926A9">
        <w:rPr>
          <w:rFonts w:ascii="Cambria" w:hAnsi="Cambria"/>
          <w:sz w:val="18"/>
          <w:szCs w:val="18"/>
        </w:rPr>
        <w:t>, State Gazette of the Republic of Indonesia of 2021 Number 86, Supplement to the State Gazette Number 6664, Article 3 paragraph (2) letter b.</w:t>
      </w:r>
    </w:p>
  </w:footnote>
  <w:footnote w:id="3">
    <w:p w14:paraId="71C4248A"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proofErr w:type="spellStart"/>
      <w:r w:rsidRPr="00F926A9">
        <w:rPr>
          <w:rFonts w:ascii="Cambria" w:hAnsi="Cambria"/>
          <w:sz w:val="18"/>
          <w:szCs w:val="18"/>
        </w:rPr>
        <w:t>Direktorat</w:t>
      </w:r>
      <w:proofErr w:type="spellEnd"/>
      <w:r w:rsidRPr="00F926A9">
        <w:rPr>
          <w:rFonts w:ascii="Cambria" w:hAnsi="Cambria"/>
          <w:sz w:val="18"/>
          <w:szCs w:val="18"/>
        </w:rPr>
        <w:t xml:space="preserve"> </w:t>
      </w:r>
      <w:proofErr w:type="spellStart"/>
      <w:r w:rsidRPr="00F926A9">
        <w:rPr>
          <w:rFonts w:ascii="Cambria" w:hAnsi="Cambria"/>
          <w:sz w:val="18"/>
          <w:szCs w:val="18"/>
        </w:rPr>
        <w:t>Jenderal</w:t>
      </w:r>
      <w:proofErr w:type="spellEnd"/>
      <w:r w:rsidRPr="00F926A9">
        <w:rPr>
          <w:rFonts w:ascii="Cambria" w:hAnsi="Cambria"/>
          <w:sz w:val="18"/>
          <w:szCs w:val="18"/>
        </w:rPr>
        <w:t xml:space="preserve"> </w:t>
      </w:r>
      <w:proofErr w:type="spellStart"/>
      <w:r w:rsidRPr="00F926A9">
        <w:rPr>
          <w:rFonts w:ascii="Cambria" w:hAnsi="Cambria"/>
          <w:sz w:val="18"/>
          <w:szCs w:val="18"/>
        </w:rPr>
        <w:t>Kekayaan</w:t>
      </w:r>
      <w:proofErr w:type="spellEnd"/>
      <w:r w:rsidRPr="00F926A9">
        <w:rPr>
          <w:rFonts w:ascii="Cambria" w:hAnsi="Cambria"/>
          <w:sz w:val="18"/>
          <w:szCs w:val="18"/>
        </w:rPr>
        <w:t xml:space="preserve"> </w:t>
      </w:r>
      <w:proofErr w:type="spellStart"/>
      <w:r w:rsidRPr="00F926A9">
        <w:rPr>
          <w:rFonts w:ascii="Cambria" w:hAnsi="Cambria"/>
          <w:sz w:val="18"/>
          <w:szCs w:val="18"/>
        </w:rPr>
        <w:t>Intelektual</w:t>
      </w:r>
      <w:proofErr w:type="spellEnd"/>
      <w:r w:rsidRPr="00F926A9">
        <w:rPr>
          <w:rFonts w:ascii="Cambria" w:hAnsi="Cambria"/>
          <w:sz w:val="18"/>
          <w:szCs w:val="18"/>
        </w:rPr>
        <w:t xml:space="preserve">, "LMKN </w:t>
      </w:r>
      <w:proofErr w:type="spellStart"/>
      <w:r w:rsidRPr="00F926A9">
        <w:rPr>
          <w:rFonts w:ascii="Cambria" w:hAnsi="Cambria"/>
          <w:sz w:val="18"/>
          <w:szCs w:val="18"/>
        </w:rPr>
        <w:t>Cetak</w:t>
      </w:r>
      <w:proofErr w:type="spellEnd"/>
      <w:r w:rsidRPr="00F926A9">
        <w:rPr>
          <w:rFonts w:ascii="Cambria" w:hAnsi="Cambria"/>
          <w:sz w:val="18"/>
          <w:szCs w:val="18"/>
        </w:rPr>
        <w:t xml:space="preserve"> </w:t>
      </w:r>
      <w:proofErr w:type="spellStart"/>
      <w:r w:rsidRPr="00F926A9">
        <w:rPr>
          <w:rFonts w:ascii="Cambria" w:hAnsi="Cambria"/>
          <w:sz w:val="18"/>
          <w:szCs w:val="18"/>
        </w:rPr>
        <w:t>Rekor</w:t>
      </w:r>
      <w:proofErr w:type="spellEnd"/>
      <w:r w:rsidRPr="00F926A9">
        <w:rPr>
          <w:rFonts w:ascii="Cambria" w:hAnsi="Cambria"/>
          <w:sz w:val="18"/>
          <w:szCs w:val="18"/>
        </w:rPr>
        <w:t xml:space="preserve"> Royalti, DJKI </w:t>
      </w:r>
      <w:proofErr w:type="spellStart"/>
      <w:r w:rsidRPr="00F926A9">
        <w:rPr>
          <w:rFonts w:ascii="Cambria" w:hAnsi="Cambria"/>
          <w:sz w:val="18"/>
          <w:szCs w:val="18"/>
        </w:rPr>
        <w:t>Aktif</w:t>
      </w:r>
      <w:proofErr w:type="spellEnd"/>
      <w:r w:rsidRPr="00F926A9">
        <w:rPr>
          <w:rFonts w:ascii="Cambria" w:hAnsi="Cambria"/>
          <w:sz w:val="18"/>
          <w:szCs w:val="18"/>
        </w:rPr>
        <w:t xml:space="preserve"> </w:t>
      </w:r>
      <w:proofErr w:type="spellStart"/>
      <w:r w:rsidRPr="00F926A9">
        <w:rPr>
          <w:rFonts w:ascii="Cambria" w:hAnsi="Cambria"/>
          <w:sz w:val="18"/>
          <w:szCs w:val="18"/>
        </w:rPr>
        <w:t>Dorong</w:t>
      </w:r>
      <w:proofErr w:type="spellEnd"/>
      <w:r w:rsidRPr="00F926A9">
        <w:rPr>
          <w:rFonts w:ascii="Cambria" w:hAnsi="Cambria"/>
          <w:sz w:val="18"/>
          <w:szCs w:val="18"/>
        </w:rPr>
        <w:t xml:space="preserve"> </w:t>
      </w:r>
      <w:proofErr w:type="spellStart"/>
      <w:r w:rsidRPr="00F926A9">
        <w:rPr>
          <w:rFonts w:ascii="Cambria" w:hAnsi="Cambria"/>
          <w:sz w:val="18"/>
          <w:szCs w:val="18"/>
        </w:rPr>
        <w:t>Transparansi</w:t>
      </w:r>
      <w:proofErr w:type="spellEnd"/>
      <w:r w:rsidRPr="00F926A9">
        <w:rPr>
          <w:rFonts w:ascii="Cambria" w:hAnsi="Cambria"/>
          <w:sz w:val="18"/>
          <w:szCs w:val="18"/>
        </w:rPr>
        <w:t xml:space="preserve"> dan Penguatan </w:t>
      </w:r>
      <w:proofErr w:type="spellStart"/>
      <w:r w:rsidRPr="00F926A9">
        <w:rPr>
          <w:rFonts w:ascii="Cambria" w:hAnsi="Cambria"/>
          <w:sz w:val="18"/>
          <w:szCs w:val="18"/>
        </w:rPr>
        <w:t>Sistem</w:t>
      </w:r>
      <w:proofErr w:type="spellEnd"/>
      <w:r w:rsidRPr="00F926A9">
        <w:rPr>
          <w:rFonts w:ascii="Cambria" w:hAnsi="Cambria"/>
          <w:sz w:val="18"/>
          <w:szCs w:val="18"/>
        </w:rPr>
        <w:t xml:space="preserve"> Hak Cipta," dgip.go.id, 2025, https://www.dgip.go.id/artikel/detail-artikel-berita/lmkn-cetak-rekor-royalti-djki-aktif-dorong-transparansi-dan-penguatan-sistem-hak-cipta.</w:t>
      </w:r>
    </w:p>
  </w:footnote>
  <w:footnote w:id="4">
    <w:p w14:paraId="0CBAA93D"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r w:rsidRPr="00F926A9">
        <w:rPr>
          <w:rFonts w:ascii="Cambria" w:hAnsi="Cambria"/>
          <w:sz w:val="18"/>
          <w:szCs w:val="18"/>
        </w:rPr>
        <w:t>Tempo.co, "</w:t>
      </w:r>
      <w:proofErr w:type="spellStart"/>
      <w:r w:rsidRPr="00F926A9">
        <w:rPr>
          <w:rFonts w:ascii="Cambria" w:hAnsi="Cambria"/>
          <w:sz w:val="18"/>
          <w:szCs w:val="18"/>
        </w:rPr>
        <w:t>Penagihan</w:t>
      </w:r>
      <w:proofErr w:type="spellEnd"/>
      <w:r w:rsidRPr="00F926A9">
        <w:rPr>
          <w:rFonts w:ascii="Cambria" w:hAnsi="Cambria"/>
          <w:sz w:val="18"/>
          <w:szCs w:val="18"/>
        </w:rPr>
        <w:t xml:space="preserve"> </w:t>
      </w:r>
      <w:proofErr w:type="spellStart"/>
      <w:r w:rsidRPr="00F926A9">
        <w:rPr>
          <w:rFonts w:ascii="Cambria" w:hAnsi="Cambria"/>
          <w:sz w:val="18"/>
          <w:szCs w:val="18"/>
        </w:rPr>
        <w:t>Pembayaran</w:t>
      </w:r>
      <w:proofErr w:type="spellEnd"/>
      <w:r w:rsidRPr="00F926A9">
        <w:rPr>
          <w:rFonts w:ascii="Cambria" w:hAnsi="Cambria"/>
          <w:sz w:val="18"/>
          <w:szCs w:val="18"/>
        </w:rPr>
        <w:t xml:space="preserve"> Royalti Mie Gacoan </w:t>
      </w:r>
      <w:proofErr w:type="spellStart"/>
      <w:r w:rsidRPr="00F926A9">
        <w:rPr>
          <w:rFonts w:ascii="Cambria" w:hAnsi="Cambria"/>
          <w:sz w:val="18"/>
          <w:szCs w:val="18"/>
        </w:rPr>
        <w:t>Sudah</w:t>
      </w:r>
      <w:proofErr w:type="spellEnd"/>
      <w:r w:rsidRPr="00F926A9">
        <w:rPr>
          <w:rFonts w:ascii="Cambria" w:hAnsi="Cambria"/>
          <w:sz w:val="18"/>
          <w:szCs w:val="18"/>
        </w:rPr>
        <w:t xml:space="preserve"> </w:t>
      </w:r>
      <w:proofErr w:type="spellStart"/>
      <w:r w:rsidRPr="00F926A9">
        <w:rPr>
          <w:rFonts w:ascii="Cambria" w:hAnsi="Cambria"/>
          <w:sz w:val="18"/>
          <w:szCs w:val="18"/>
        </w:rPr>
        <w:t>Dilakukan</w:t>
      </w:r>
      <w:proofErr w:type="spellEnd"/>
      <w:r w:rsidRPr="00F926A9">
        <w:rPr>
          <w:rFonts w:ascii="Cambria" w:hAnsi="Cambria"/>
          <w:sz w:val="18"/>
          <w:szCs w:val="18"/>
        </w:rPr>
        <w:t xml:space="preserve"> </w:t>
      </w:r>
      <w:proofErr w:type="spellStart"/>
      <w:r w:rsidRPr="00F926A9">
        <w:rPr>
          <w:rFonts w:ascii="Cambria" w:hAnsi="Cambria"/>
          <w:sz w:val="18"/>
          <w:szCs w:val="18"/>
        </w:rPr>
        <w:t>Sejak</w:t>
      </w:r>
      <w:proofErr w:type="spellEnd"/>
      <w:r w:rsidRPr="00F926A9">
        <w:rPr>
          <w:rFonts w:ascii="Cambria" w:hAnsi="Cambria"/>
          <w:sz w:val="18"/>
          <w:szCs w:val="18"/>
        </w:rPr>
        <w:t xml:space="preserve"> 2022," tempo.co, 21 August 2025, https://www.tempo.co/hukum/penagihan-pembayaran-royalti-mie-gacoan-sudah-dilakukan-sejak-2022-2049120.</w:t>
      </w:r>
    </w:p>
  </w:footnote>
  <w:footnote w:id="5">
    <w:p w14:paraId="6FFB3A3C" w14:textId="77777777" w:rsidR="00F926A9" w:rsidRDefault="00F926A9" w:rsidP="00F926A9">
      <w:pPr>
        <w:spacing w:after="0" w:line="240" w:lineRule="auto"/>
        <w:jc w:val="both"/>
      </w:pPr>
      <w:r w:rsidRPr="00F926A9">
        <w:rPr>
          <w:rStyle w:val="FootnoteReference"/>
          <w:rFonts w:ascii="Cambria" w:hAnsi="Cambria"/>
          <w:sz w:val="18"/>
          <w:szCs w:val="18"/>
        </w:rPr>
        <w:footnoteRef/>
      </w:r>
      <w:proofErr w:type="spellStart"/>
      <w:r w:rsidRPr="00F926A9">
        <w:rPr>
          <w:rFonts w:ascii="Cambria" w:hAnsi="Cambria"/>
          <w:sz w:val="18"/>
          <w:szCs w:val="18"/>
        </w:rPr>
        <w:t>NusaBali</w:t>
      </w:r>
      <w:proofErr w:type="spellEnd"/>
      <w:r w:rsidRPr="00F926A9">
        <w:rPr>
          <w:rFonts w:ascii="Cambria" w:hAnsi="Cambria"/>
          <w:sz w:val="18"/>
          <w:szCs w:val="18"/>
        </w:rPr>
        <w:t xml:space="preserve">, "Royalti Rp 2,2 </w:t>
      </w:r>
      <w:proofErr w:type="spellStart"/>
      <w:r w:rsidRPr="00F926A9">
        <w:rPr>
          <w:rFonts w:ascii="Cambria" w:hAnsi="Cambria"/>
          <w:sz w:val="18"/>
          <w:szCs w:val="18"/>
        </w:rPr>
        <w:t>Miliar</w:t>
      </w:r>
      <w:proofErr w:type="spellEnd"/>
      <w:r w:rsidRPr="00F926A9">
        <w:rPr>
          <w:rFonts w:ascii="Cambria" w:hAnsi="Cambria"/>
          <w:sz w:val="18"/>
          <w:szCs w:val="18"/>
        </w:rPr>
        <w:t xml:space="preserve"> </w:t>
      </w:r>
      <w:proofErr w:type="spellStart"/>
      <w:r w:rsidRPr="00F926A9">
        <w:rPr>
          <w:rFonts w:ascii="Cambria" w:hAnsi="Cambria"/>
          <w:sz w:val="18"/>
          <w:szCs w:val="18"/>
        </w:rPr>
        <w:t>Dibayarkan</w:t>
      </w:r>
      <w:proofErr w:type="spellEnd"/>
      <w:r w:rsidRPr="00F926A9">
        <w:rPr>
          <w:rFonts w:ascii="Cambria" w:hAnsi="Cambria"/>
          <w:sz w:val="18"/>
          <w:szCs w:val="18"/>
        </w:rPr>
        <w:t xml:space="preserve">, Mie </w:t>
      </w:r>
      <w:proofErr w:type="spellStart"/>
      <w:r w:rsidRPr="00F926A9">
        <w:rPr>
          <w:rFonts w:ascii="Cambria" w:hAnsi="Cambria"/>
          <w:sz w:val="18"/>
          <w:szCs w:val="18"/>
        </w:rPr>
        <w:t>Gacoan</w:t>
      </w:r>
      <w:proofErr w:type="spellEnd"/>
      <w:r w:rsidRPr="00F926A9">
        <w:rPr>
          <w:rFonts w:ascii="Cambria" w:hAnsi="Cambria"/>
          <w:sz w:val="18"/>
          <w:szCs w:val="18"/>
        </w:rPr>
        <w:t xml:space="preserve"> dan LMK SELMI </w:t>
      </w:r>
      <w:proofErr w:type="spellStart"/>
      <w:r w:rsidRPr="00F926A9">
        <w:rPr>
          <w:rFonts w:ascii="Cambria" w:hAnsi="Cambria"/>
          <w:sz w:val="18"/>
          <w:szCs w:val="18"/>
        </w:rPr>
        <w:t>Sepakat</w:t>
      </w:r>
      <w:proofErr w:type="spellEnd"/>
      <w:r w:rsidRPr="00F926A9">
        <w:rPr>
          <w:rFonts w:ascii="Cambria" w:hAnsi="Cambria"/>
          <w:sz w:val="18"/>
          <w:szCs w:val="18"/>
        </w:rPr>
        <w:t xml:space="preserve"> Damai," nusabali.com, 8 August 2025, https://www.nusabali.com/berita/198799/royalti-rp-22-miliar-dibayarkan-mie-gacoan-dan-lmk-selmi-sepakat-damai.</w:t>
      </w:r>
    </w:p>
  </w:footnote>
  <w:footnote w:id="6">
    <w:p w14:paraId="13F60F07" w14:textId="77777777" w:rsidR="00F926A9" w:rsidRDefault="00F926A9" w:rsidP="00F926A9">
      <w:pPr>
        <w:spacing w:line="240" w:lineRule="auto"/>
        <w:jc w:val="both"/>
      </w:pPr>
      <w:r>
        <w:rPr>
          <w:rStyle w:val="FootnoteReference"/>
        </w:rPr>
        <w:footnoteRef/>
      </w:r>
      <w:r>
        <w:rPr>
          <w:sz w:val="18"/>
          <w:szCs w:val="18"/>
        </w:rPr>
        <w:t xml:space="preserve">Nurul </w:t>
      </w:r>
      <w:proofErr w:type="spellStart"/>
      <w:r>
        <w:rPr>
          <w:sz w:val="18"/>
          <w:szCs w:val="18"/>
        </w:rPr>
        <w:t>Indarsen</w:t>
      </w:r>
      <w:proofErr w:type="spellEnd"/>
      <w:r>
        <w:rPr>
          <w:sz w:val="18"/>
          <w:szCs w:val="18"/>
        </w:rPr>
        <w:t>, "</w:t>
      </w:r>
      <w:proofErr w:type="spellStart"/>
      <w:r>
        <w:rPr>
          <w:sz w:val="18"/>
          <w:szCs w:val="18"/>
        </w:rPr>
        <w:t>Konsekuensi</w:t>
      </w:r>
      <w:proofErr w:type="spellEnd"/>
      <w:r>
        <w:rPr>
          <w:sz w:val="18"/>
          <w:szCs w:val="18"/>
        </w:rPr>
        <w:t xml:space="preserve"> </w:t>
      </w:r>
      <w:proofErr w:type="spellStart"/>
      <w:r>
        <w:rPr>
          <w:sz w:val="18"/>
          <w:szCs w:val="18"/>
        </w:rPr>
        <w:t>Hadirnya</w:t>
      </w:r>
      <w:proofErr w:type="spellEnd"/>
      <w:r>
        <w:rPr>
          <w:sz w:val="18"/>
          <w:szCs w:val="18"/>
        </w:rPr>
        <w:t xml:space="preserve"> </w:t>
      </w:r>
      <w:proofErr w:type="spellStart"/>
      <w:r>
        <w:rPr>
          <w:sz w:val="18"/>
          <w:szCs w:val="18"/>
        </w:rPr>
        <w:t>Peraturan</w:t>
      </w:r>
      <w:proofErr w:type="spellEnd"/>
      <w:r>
        <w:rPr>
          <w:sz w:val="18"/>
          <w:szCs w:val="18"/>
        </w:rPr>
        <w:t xml:space="preserve"> </w:t>
      </w:r>
      <w:proofErr w:type="spellStart"/>
      <w:r>
        <w:rPr>
          <w:sz w:val="18"/>
          <w:szCs w:val="18"/>
        </w:rPr>
        <w:t>Pemerintah</w:t>
      </w:r>
      <w:proofErr w:type="spellEnd"/>
      <w:r>
        <w:rPr>
          <w:sz w:val="18"/>
          <w:szCs w:val="18"/>
        </w:rPr>
        <w:t xml:space="preserve"> </w:t>
      </w:r>
      <w:proofErr w:type="spellStart"/>
      <w:r>
        <w:rPr>
          <w:sz w:val="18"/>
          <w:szCs w:val="18"/>
        </w:rPr>
        <w:t>Nomor</w:t>
      </w:r>
      <w:proofErr w:type="spellEnd"/>
      <w:r>
        <w:rPr>
          <w:sz w:val="18"/>
          <w:szCs w:val="18"/>
        </w:rPr>
        <w:t xml:space="preserve"> 56 Tahun 2021 tentang </w:t>
      </w:r>
      <w:proofErr w:type="spellStart"/>
      <w:r>
        <w:rPr>
          <w:sz w:val="18"/>
          <w:szCs w:val="18"/>
        </w:rPr>
        <w:t>Pengelolaan</w:t>
      </w:r>
      <w:proofErr w:type="spellEnd"/>
      <w:r>
        <w:rPr>
          <w:sz w:val="18"/>
          <w:szCs w:val="18"/>
        </w:rPr>
        <w:t xml:space="preserve"> Royalti Hak Cipta Lagu dan/atau Musik </w:t>
      </w:r>
      <w:proofErr w:type="spellStart"/>
      <w:r>
        <w:rPr>
          <w:sz w:val="18"/>
          <w:szCs w:val="18"/>
        </w:rPr>
        <w:t>terhadap</w:t>
      </w:r>
      <w:proofErr w:type="spellEnd"/>
      <w:r>
        <w:rPr>
          <w:sz w:val="18"/>
          <w:szCs w:val="18"/>
        </w:rPr>
        <w:t xml:space="preserve"> </w:t>
      </w:r>
      <w:proofErr w:type="spellStart"/>
      <w:r>
        <w:rPr>
          <w:sz w:val="18"/>
          <w:szCs w:val="18"/>
        </w:rPr>
        <w:t>Pemungutan</w:t>
      </w:r>
      <w:proofErr w:type="spellEnd"/>
      <w:r>
        <w:rPr>
          <w:sz w:val="18"/>
          <w:szCs w:val="18"/>
        </w:rPr>
        <w:t xml:space="preserve"> Royalti Lagu dan/atau Musik," </w:t>
      </w:r>
      <w:r>
        <w:rPr>
          <w:i/>
          <w:iCs/>
          <w:sz w:val="18"/>
          <w:szCs w:val="18"/>
        </w:rPr>
        <w:t xml:space="preserve">Locus: Jurnal </w:t>
      </w:r>
      <w:proofErr w:type="spellStart"/>
      <w:r>
        <w:rPr>
          <w:i/>
          <w:iCs/>
          <w:sz w:val="18"/>
          <w:szCs w:val="18"/>
        </w:rPr>
        <w:t>Konsep</w:t>
      </w:r>
      <w:proofErr w:type="spellEnd"/>
      <w:r>
        <w:rPr>
          <w:i/>
          <w:iCs/>
          <w:sz w:val="18"/>
          <w:szCs w:val="18"/>
        </w:rPr>
        <w:t xml:space="preserve"> Ilmu Hukum</w:t>
      </w:r>
      <w:r>
        <w:rPr>
          <w:sz w:val="18"/>
          <w:szCs w:val="18"/>
        </w:rPr>
        <w:t xml:space="preserve"> 3, no. 2 (2023): 99–112.</w:t>
      </w:r>
    </w:p>
  </w:footnote>
  <w:footnote w:id="7">
    <w:p w14:paraId="61AB4380"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r w:rsidRPr="00F926A9">
        <w:rPr>
          <w:rFonts w:ascii="Cambria" w:hAnsi="Cambria"/>
          <w:sz w:val="18"/>
          <w:szCs w:val="18"/>
        </w:rPr>
        <w:t xml:space="preserve">Rico Frans Jhonatan Pinem and Eka Ratnawati, "Restorative Justice dalam </w:t>
      </w:r>
      <w:proofErr w:type="spellStart"/>
      <w:r w:rsidRPr="00F926A9">
        <w:rPr>
          <w:rFonts w:ascii="Cambria" w:hAnsi="Cambria"/>
          <w:sz w:val="18"/>
          <w:szCs w:val="18"/>
        </w:rPr>
        <w:t>Tindak</w:t>
      </w:r>
      <w:proofErr w:type="spellEnd"/>
      <w:r w:rsidRPr="00F926A9">
        <w:rPr>
          <w:rFonts w:ascii="Cambria" w:hAnsi="Cambria"/>
          <w:sz w:val="18"/>
          <w:szCs w:val="18"/>
        </w:rPr>
        <w:t xml:space="preserve"> </w:t>
      </w:r>
      <w:proofErr w:type="spellStart"/>
      <w:r w:rsidRPr="00F926A9">
        <w:rPr>
          <w:rFonts w:ascii="Cambria" w:hAnsi="Cambria"/>
          <w:sz w:val="18"/>
          <w:szCs w:val="18"/>
        </w:rPr>
        <w:t>Pidana</w:t>
      </w:r>
      <w:proofErr w:type="spellEnd"/>
      <w:r w:rsidRPr="00F926A9">
        <w:rPr>
          <w:rFonts w:ascii="Cambria" w:hAnsi="Cambria"/>
          <w:sz w:val="18"/>
          <w:szCs w:val="18"/>
        </w:rPr>
        <w:t xml:space="preserve"> Merek (</w:t>
      </w:r>
      <w:proofErr w:type="spellStart"/>
      <w:r w:rsidRPr="00F926A9">
        <w:rPr>
          <w:rFonts w:ascii="Cambria" w:hAnsi="Cambria"/>
          <w:sz w:val="18"/>
          <w:szCs w:val="18"/>
        </w:rPr>
        <w:t>Analisis</w:t>
      </w:r>
      <w:proofErr w:type="spellEnd"/>
      <w:r w:rsidRPr="00F926A9">
        <w:rPr>
          <w:rFonts w:ascii="Cambria" w:hAnsi="Cambria"/>
          <w:sz w:val="18"/>
          <w:szCs w:val="18"/>
        </w:rPr>
        <w:t xml:space="preserve"> Teori </w:t>
      </w:r>
      <w:proofErr w:type="spellStart"/>
      <w:r w:rsidRPr="00F926A9">
        <w:rPr>
          <w:rFonts w:ascii="Cambria" w:hAnsi="Cambria"/>
          <w:sz w:val="18"/>
          <w:szCs w:val="18"/>
        </w:rPr>
        <w:t>Penegakan</w:t>
      </w:r>
      <w:proofErr w:type="spellEnd"/>
      <w:r w:rsidRPr="00F926A9">
        <w:rPr>
          <w:rFonts w:ascii="Cambria" w:hAnsi="Cambria"/>
          <w:sz w:val="18"/>
          <w:szCs w:val="18"/>
        </w:rPr>
        <w:t xml:space="preserve"> Hukum)," </w:t>
      </w:r>
      <w:proofErr w:type="spellStart"/>
      <w:r w:rsidRPr="00F926A9">
        <w:rPr>
          <w:rFonts w:ascii="Cambria" w:hAnsi="Cambria"/>
          <w:i/>
          <w:iCs/>
          <w:sz w:val="18"/>
          <w:szCs w:val="18"/>
        </w:rPr>
        <w:t>Ensiklopedia</w:t>
      </w:r>
      <w:proofErr w:type="spellEnd"/>
      <w:r w:rsidRPr="00F926A9">
        <w:rPr>
          <w:rFonts w:ascii="Cambria" w:hAnsi="Cambria"/>
          <w:i/>
          <w:iCs/>
          <w:sz w:val="18"/>
          <w:szCs w:val="18"/>
        </w:rPr>
        <w:t xml:space="preserve"> of Journal</w:t>
      </w:r>
      <w:r w:rsidRPr="00F926A9">
        <w:rPr>
          <w:rFonts w:ascii="Cambria" w:hAnsi="Cambria"/>
          <w:sz w:val="18"/>
          <w:szCs w:val="18"/>
        </w:rPr>
        <w:t xml:space="preserve"> 6, no. 2 (2024).</w:t>
      </w:r>
    </w:p>
  </w:footnote>
  <w:footnote w:id="8">
    <w:p w14:paraId="02497C0A"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r w:rsidRPr="00F926A9">
        <w:rPr>
          <w:rFonts w:ascii="Cambria" w:hAnsi="Cambria"/>
          <w:sz w:val="18"/>
          <w:szCs w:val="18"/>
        </w:rPr>
        <w:t>Rika Ratna Permata, "</w:t>
      </w:r>
      <w:proofErr w:type="spellStart"/>
      <w:r w:rsidRPr="00F926A9">
        <w:rPr>
          <w:rFonts w:ascii="Cambria" w:hAnsi="Cambria"/>
          <w:sz w:val="18"/>
          <w:szCs w:val="18"/>
        </w:rPr>
        <w:t>Efektivitas</w:t>
      </w:r>
      <w:proofErr w:type="spellEnd"/>
      <w:r w:rsidRPr="00F926A9">
        <w:rPr>
          <w:rFonts w:ascii="Cambria" w:hAnsi="Cambria"/>
          <w:sz w:val="18"/>
          <w:szCs w:val="18"/>
        </w:rPr>
        <w:t xml:space="preserve"> Lembaga </w:t>
      </w:r>
      <w:proofErr w:type="spellStart"/>
      <w:r w:rsidRPr="00F926A9">
        <w:rPr>
          <w:rFonts w:ascii="Cambria" w:hAnsi="Cambria"/>
          <w:sz w:val="18"/>
          <w:szCs w:val="18"/>
        </w:rPr>
        <w:t>Manajemen</w:t>
      </w:r>
      <w:proofErr w:type="spellEnd"/>
      <w:r w:rsidRPr="00F926A9">
        <w:rPr>
          <w:rFonts w:ascii="Cambria" w:hAnsi="Cambria"/>
          <w:sz w:val="18"/>
          <w:szCs w:val="18"/>
        </w:rPr>
        <w:t xml:space="preserve"> </w:t>
      </w:r>
      <w:proofErr w:type="spellStart"/>
      <w:r w:rsidRPr="00F926A9">
        <w:rPr>
          <w:rFonts w:ascii="Cambria" w:hAnsi="Cambria"/>
          <w:sz w:val="18"/>
          <w:szCs w:val="18"/>
        </w:rPr>
        <w:t>Kolektif</w:t>
      </w:r>
      <w:proofErr w:type="spellEnd"/>
      <w:r w:rsidRPr="00F926A9">
        <w:rPr>
          <w:rFonts w:ascii="Cambria" w:hAnsi="Cambria"/>
          <w:sz w:val="18"/>
          <w:szCs w:val="18"/>
        </w:rPr>
        <w:t xml:space="preserve"> dalam </w:t>
      </w:r>
      <w:proofErr w:type="spellStart"/>
      <w:r w:rsidRPr="00F926A9">
        <w:rPr>
          <w:rFonts w:ascii="Cambria" w:hAnsi="Cambria"/>
          <w:sz w:val="18"/>
          <w:szCs w:val="18"/>
        </w:rPr>
        <w:t>Pengelolaan</w:t>
      </w:r>
      <w:proofErr w:type="spellEnd"/>
      <w:r w:rsidRPr="00F926A9">
        <w:rPr>
          <w:rFonts w:ascii="Cambria" w:hAnsi="Cambria"/>
          <w:sz w:val="18"/>
          <w:szCs w:val="18"/>
        </w:rPr>
        <w:t xml:space="preserve"> Royalti Musik di Indonesia," </w:t>
      </w:r>
      <w:r w:rsidRPr="00F926A9">
        <w:rPr>
          <w:rFonts w:ascii="Cambria" w:hAnsi="Cambria"/>
          <w:i/>
          <w:iCs/>
          <w:sz w:val="18"/>
          <w:szCs w:val="18"/>
        </w:rPr>
        <w:t xml:space="preserve">Jurnal </w:t>
      </w:r>
      <w:proofErr w:type="spellStart"/>
      <w:r w:rsidRPr="00F926A9">
        <w:rPr>
          <w:rFonts w:ascii="Cambria" w:hAnsi="Cambria"/>
          <w:i/>
          <w:iCs/>
          <w:sz w:val="18"/>
          <w:szCs w:val="18"/>
        </w:rPr>
        <w:t>RechtsVinding</w:t>
      </w:r>
      <w:proofErr w:type="spellEnd"/>
      <w:r w:rsidRPr="00F926A9">
        <w:rPr>
          <w:rFonts w:ascii="Cambria" w:hAnsi="Cambria"/>
          <w:sz w:val="18"/>
          <w:szCs w:val="18"/>
        </w:rPr>
        <w:t xml:space="preserve"> (2021).</w:t>
      </w:r>
    </w:p>
  </w:footnote>
  <w:footnote w:id="9">
    <w:p w14:paraId="58284CBF" w14:textId="77777777" w:rsidR="00F926A9" w:rsidRPr="00F926A9" w:rsidRDefault="00F926A9" w:rsidP="00F926A9">
      <w:pPr>
        <w:spacing w:after="0" w:line="240" w:lineRule="auto"/>
        <w:jc w:val="both"/>
        <w:rPr>
          <w:rFonts w:ascii="Cambria" w:hAnsi="Cambria"/>
          <w:sz w:val="18"/>
          <w:szCs w:val="18"/>
        </w:rPr>
      </w:pPr>
      <w:r w:rsidRPr="00F926A9">
        <w:rPr>
          <w:rStyle w:val="FootnoteReference"/>
          <w:rFonts w:ascii="Cambria" w:hAnsi="Cambria"/>
          <w:sz w:val="18"/>
          <w:szCs w:val="18"/>
        </w:rPr>
        <w:footnoteRef/>
      </w:r>
      <w:proofErr w:type="spellStart"/>
      <w:r w:rsidRPr="00F926A9">
        <w:rPr>
          <w:rFonts w:ascii="Cambria" w:hAnsi="Cambria"/>
          <w:sz w:val="18"/>
          <w:szCs w:val="18"/>
        </w:rPr>
        <w:t>Miftahur</w:t>
      </w:r>
      <w:proofErr w:type="spellEnd"/>
      <w:r w:rsidRPr="00F926A9">
        <w:rPr>
          <w:rFonts w:ascii="Cambria" w:hAnsi="Cambria"/>
          <w:sz w:val="18"/>
          <w:szCs w:val="18"/>
        </w:rPr>
        <w:t xml:space="preserve"> Rizki, "</w:t>
      </w:r>
      <w:proofErr w:type="spellStart"/>
      <w:r w:rsidRPr="00F926A9">
        <w:rPr>
          <w:rFonts w:ascii="Cambria" w:hAnsi="Cambria"/>
          <w:sz w:val="18"/>
          <w:szCs w:val="18"/>
        </w:rPr>
        <w:t>Konsekuensi</w:t>
      </w:r>
      <w:proofErr w:type="spellEnd"/>
      <w:r w:rsidRPr="00F926A9">
        <w:rPr>
          <w:rFonts w:ascii="Cambria" w:hAnsi="Cambria"/>
          <w:sz w:val="18"/>
          <w:szCs w:val="18"/>
        </w:rPr>
        <w:t xml:space="preserve"> </w:t>
      </w:r>
      <w:proofErr w:type="spellStart"/>
      <w:r w:rsidRPr="00F926A9">
        <w:rPr>
          <w:rFonts w:ascii="Cambria" w:hAnsi="Cambria"/>
          <w:sz w:val="18"/>
          <w:szCs w:val="18"/>
        </w:rPr>
        <w:t>Keuangan</w:t>
      </w:r>
      <w:proofErr w:type="spellEnd"/>
      <w:r w:rsidRPr="00F926A9">
        <w:rPr>
          <w:rFonts w:ascii="Cambria" w:hAnsi="Cambria"/>
          <w:sz w:val="18"/>
          <w:szCs w:val="18"/>
        </w:rPr>
        <w:t xml:space="preserve"> dan Hukum </w:t>
      </w:r>
      <w:proofErr w:type="spellStart"/>
      <w:r w:rsidRPr="00F926A9">
        <w:rPr>
          <w:rFonts w:ascii="Cambria" w:hAnsi="Cambria"/>
          <w:sz w:val="18"/>
          <w:szCs w:val="18"/>
        </w:rPr>
        <w:t>atas</w:t>
      </w:r>
      <w:proofErr w:type="spellEnd"/>
      <w:r w:rsidRPr="00F926A9">
        <w:rPr>
          <w:rFonts w:ascii="Cambria" w:hAnsi="Cambria"/>
          <w:sz w:val="18"/>
          <w:szCs w:val="18"/>
        </w:rPr>
        <w:t xml:space="preserve"> </w:t>
      </w:r>
      <w:proofErr w:type="spellStart"/>
      <w:r w:rsidRPr="00F926A9">
        <w:rPr>
          <w:rFonts w:ascii="Cambria" w:hAnsi="Cambria"/>
          <w:sz w:val="18"/>
          <w:szCs w:val="18"/>
        </w:rPr>
        <w:t>Pelanggaran</w:t>
      </w:r>
      <w:proofErr w:type="spellEnd"/>
      <w:r w:rsidRPr="00F926A9">
        <w:rPr>
          <w:rFonts w:ascii="Cambria" w:hAnsi="Cambria"/>
          <w:sz w:val="18"/>
          <w:szCs w:val="18"/>
        </w:rPr>
        <w:t xml:space="preserve"> Hak Cipta dalam </w:t>
      </w:r>
      <w:proofErr w:type="spellStart"/>
      <w:r w:rsidRPr="00F926A9">
        <w:rPr>
          <w:rFonts w:ascii="Cambria" w:hAnsi="Cambria"/>
          <w:sz w:val="18"/>
          <w:szCs w:val="18"/>
        </w:rPr>
        <w:t>Penampilan</w:t>
      </w:r>
      <w:proofErr w:type="spellEnd"/>
      <w:r w:rsidRPr="00F926A9">
        <w:rPr>
          <w:rFonts w:ascii="Cambria" w:hAnsi="Cambria"/>
          <w:sz w:val="18"/>
          <w:szCs w:val="18"/>
        </w:rPr>
        <w:t xml:space="preserve"> Publik: Studi </w:t>
      </w:r>
      <w:proofErr w:type="spellStart"/>
      <w:r w:rsidRPr="00F926A9">
        <w:rPr>
          <w:rFonts w:ascii="Cambria" w:hAnsi="Cambria"/>
          <w:sz w:val="18"/>
          <w:szCs w:val="18"/>
        </w:rPr>
        <w:t>Kasus</w:t>
      </w:r>
      <w:proofErr w:type="spellEnd"/>
      <w:r w:rsidRPr="00F926A9">
        <w:rPr>
          <w:rFonts w:ascii="Cambria" w:hAnsi="Cambria"/>
          <w:sz w:val="18"/>
          <w:szCs w:val="18"/>
        </w:rPr>
        <w:t xml:space="preserve"> </w:t>
      </w:r>
      <w:proofErr w:type="spellStart"/>
      <w:r w:rsidRPr="00F926A9">
        <w:rPr>
          <w:rFonts w:ascii="Cambria" w:hAnsi="Cambria"/>
          <w:sz w:val="18"/>
          <w:szCs w:val="18"/>
        </w:rPr>
        <w:t>Penyelesaian</w:t>
      </w:r>
      <w:proofErr w:type="spellEnd"/>
      <w:r w:rsidRPr="00F926A9">
        <w:rPr>
          <w:rFonts w:ascii="Cambria" w:hAnsi="Cambria"/>
          <w:sz w:val="18"/>
          <w:szCs w:val="18"/>
        </w:rPr>
        <w:t xml:space="preserve"> </w:t>
      </w:r>
      <w:proofErr w:type="spellStart"/>
      <w:r w:rsidRPr="00F926A9">
        <w:rPr>
          <w:rFonts w:ascii="Cambria" w:hAnsi="Cambria"/>
          <w:sz w:val="18"/>
          <w:szCs w:val="18"/>
        </w:rPr>
        <w:t>Sengketa</w:t>
      </w:r>
      <w:proofErr w:type="spellEnd"/>
      <w:r w:rsidRPr="00F926A9">
        <w:rPr>
          <w:rFonts w:ascii="Cambria" w:hAnsi="Cambria"/>
          <w:sz w:val="18"/>
          <w:szCs w:val="18"/>
        </w:rPr>
        <w:t xml:space="preserve"> Royalti Musik pada Mie </w:t>
      </w:r>
      <w:proofErr w:type="spellStart"/>
      <w:r w:rsidRPr="00F926A9">
        <w:rPr>
          <w:rFonts w:ascii="Cambria" w:hAnsi="Cambria"/>
          <w:sz w:val="18"/>
          <w:szCs w:val="18"/>
        </w:rPr>
        <w:t>Gacoan</w:t>
      </w:r>
      <w:proofErr w:type="spellEnd"/>
      <w:r w:rsidRPr="00F926A9">
        <w:rPr>
          <w:rFonts w:ascii="Cambria" w:hAnsi="Cambria"/>
          <w:sz w:val="18"/>
          <w:szCs w:val="18"/>
        </w:rPr>
        <w:t xml:space="preserve"> Bali," </w:t>
      </w:r>
      <w:proofErr w:type="spellStart"/>
      <w:r w:rsidRPr="00F926A9">
        <w:rPr>
          <w:rFonts w:ascii="Cambria" w:hAnsi="Cambria"/>
          <w:i/>
          <w:iCs/>
          <w:sz w:val="18"/>
          <w:szCs w:val="18"/>
        </w:rPr>
        <w:t>Aliansi</w:t>
      </w:r>
      <w:proofErr w:type="spellEnd"/>
      <w:r w:rsidRPr="00F926A9">
        <w:rPr>
          <w:rFonts w:ascii="Cambria" w:hAnsi="Cambria"/>
          <w:i/>
          <w:iCs/>
          <w:sz w:val="18"/>
          <w:szCs w:val="18"/>
        </w:rPr>
        <w:t xml:space="preserve">: Jurnal Hukum, Pendidikan dan </w:t>
      </w:r>
      <w:proofErr w:type="spellStart"/>
      <w:r w:rsidRPr="00F926A9">
        <w:rPr>
          <w:rFonts w:ascii="Cambria" w:hAnsi="Cambria"/>
          <w:i/>
          <w:iCs/>
          <w:sz w:val="18"/>
          <w:szCs w:val="18"/>
        </w:rPr>
        <w:t>Sosial</w:t>
      </w:r>
      <w:proofErr w:type="spellEnd"/>
      <w:r w:rsidRPr="00F926A9">
        <w:rPr>
          <w:rFonts w:ascii="Cambria" w:hAnsi="Cambria"/>
          <w:i/>
          <w:iCs/>
          <w:sz w:val="18"/>
          <w:szCs w:val="18"/>
        </w:rPr>
        <w:t xml:space="preserve"> </w:t>
      </w:r>
      <w:proofErr w:type="spellStart"/>
      <w:r w:rsidRPr="00F926A9">
        <w:rPr>
          <w:rFonts w:ascii="Cambria" w:hAnsi="Cambria"/>
          <w:i/>
          <w:iCs/>
          <w:sz w:val="18"/>
          <w:szCs w:val="18"/>
        </w:rPr>
        <w:t>Humaniora</w:t>
      </w:r>
      <w:proofErr w:type="spellEnd"/>
      <w:r w:rsidRPr="00F926A9">
        <w:rPr>
          <w:rFonts w:ascii="Cambria" w:hAnsi="Cambria"/>
          <w:sz w:val="18"/>
          <w:szCs w:val="18"/>
        </w:rPr>
        <w:t xml:space="preserve"> 2, no. 6 (2025): 256–66.</w:t>
      </w:r>
    </w:p>
  </w:footnote>
  <w:footnote w:id="10">
    <w:p w14:paraId="1D150F50" w14:textId="77777777" w:rsidR="00F926A9" w:rsidRDefault="00F926A9" w:rsidP="00F926A9">
      <w:pPr>
        <w:spacing w:after="0" w:line="240" w:lineRule="auto"/>
        <w:jc w:val="both"/>
      </w:pPr>
      <w:r w:rsidRPr="00F926A9">
        <w:rPr>
          <w:rStyle w:val="FootnoteReference"/>
          <w:rFonts w:ascii="Cambria" w:hAnsi="Cambria"/>
          <w:sz w:val="18"/>
          <w:szCs w:val="18"/>
        </w:rPr>
        <w:footnoteRef/>
      </w:r>
      <w:r w:rsidRPr="00F926A9">
        <w:rPr>
          <w:rFonts w:ascii="Cambria" w:hAnsi="Cambria"/>
          <w:sz w:val="18"/>
          <w:szCs w:val="18"/>
        </w:rPr>
        <w:t xml:space="preserve">Constitutional Court of the Republic of Indonesia, </w:t>
      </w:r>
      <w:r w:rsidRPr="00F926A9">
        <w:rPr>
          <w:rFonts w:ascii="Cambria" w:hAnsi="Cambria"/>
          <w:i/>
          <w:iCs/>
          <w:sz w:val="18"/>
          <w:szCs w:val="18"/>
        </w:rPr>
        <w:t>Decision Number 28/PUU-XXIII/2025</w:t>
      </w:r>
      <w:r w:rsidRPr="00F926A9">
        <w:rPr>
          <w:rFonts w:ascii="Cambria" w:hAnsi="Cambria"/>
          <w:sz w:val="18"/>
          <w:szCs w:val="18"/>
        </w:rPr>
        <w:t>, pronounced 17 December 2025.</w:t>
      </w:r>
    </w:p>
  </w:footnote>
  <w:footnote w:id="11">
    <w:p w14:paraId="50071968" w14:textId="77777777" w:rsidR="00F926A9" w:rsidRPr="00F926A9" w:rsidRDefault="00F926A9" w:rsidP="00F926A9">
      <w:pPr>
        <w:spacing w:after="0" w:line="240" w:lineRule="auto"/>
        <w:jc w:val="both"/>
        <w:rPr>
          <w:rFonts w:ascii="Cambria" w:hAnsi="Cambria" w:cs="Cambria"/>
          <w:sz w:val="18"/>
          <w:szCs w:val="18"/>
          <w:lang w:val="fi-FI" w:eastAsia="en-AU"/>
        </w:rPr>
      </w:pPr>
      <w:r w:rsidRPr="00F926A9">
        <w:rPr>
          <w:rStyle w:val="FootnoteReference"/>
          <w:rFonts w:ascii="Cambria" w:hAnsi="Cambria"/>
          <w:sz w:val="18"/>
          <w:szCs w:val="18"/>
        </w:rPr>
        <w:footnoteRef/>
      </w:r>
      <w:proofErr w:type="spellStart"/>
      <w:r w:rsidRPr="00F926A9">
        <w:rPr>
          <w:rFonts w:ascii="Cambria" w:hAnsi="Cambria"/>
          <w:sz w:val="18"/>
          <w:szCs w:val="18"/>
          <w:lang w:val="fi-FI"/>
        </w:rPr>
        <w:t>Soerjono</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Soekanto</w:t>
      </w:r>
      <w:proofErr w:type="spellEnd"/>
      <w:r w:rsidRPr="00F926A9">
        <w:rPr>
          <w:rFonts w:ascii="Cambria" w:hAnsi="Cambria"/>
          <w:sz w:val="18"/>
          <w:szCs w:val="18"/>
          <w:lang w:val="fi-FI"/>
        </w:rPr>
        <w:t xml:space="preserve"> and Sri </w:t>
      </w:r>
      <w:proofErr w:type="spellStart"/>
      <w:r w:rsidRPr="00F926A9">
        <w:rPr>
          <w:rFonts w:ascii="Cambria" w:hAnsi="Cambria"/>
          <w:sz w:val="18"/>
          <w:szCs w:val="18"/>
          <w:lang w:val="fi-FI"/>
        </w:rPr>
        <w:t>Mamudji</w:t>
      </w:r>
      <w:proofErr w:type="spellEnd"/>
      <w:r w:rsidRPr="00F926A9">
        <w:rPr>
          <w:rFonts w:ascii="Cambria" w:hAnsi="Cambria"/>
          <w:sz w:val="18"/>
          <w:szCs w:val="18"/>
          <w:lang w:val="fi-FI"/>
        </w:rPr>
        <w:t xml:space="preserve">, </w:t>
      </w:r>
      <w:proofErr w:type="spellStart"/>
      <w:r w:rsidRPr="00F926A9">
        <w:rPr>
          <w:rFonts w:ascii="Cambria" w:hAnsi="Cambria"/>
          <w:i/>
          <w:iCs/>
          <w:sz w:val="18"/>
          <w:szCs w:val="18"/>
          <w:lang w:val="fi-FI"/>
        </w:rPr>
        <w:t>Penelitian</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Hukum</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Normatif</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Suatu</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Tinjauan</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Singkat</w:t>
      </w:r>
      <w:proofErr w:type="spellEnd"/>
      <w:r w:rsidRPr="00F926A9">
        <w:rPr>
          <w:rFonts w:ascii="Cambria" w:hAnsi="Cambria"/>
          <w:sz w:val="18"/>
          <w:szCs w:val="18"/>
          <w:lang w:val="fi-FI"/>
        </w:rPr>
        <w:t xml:space="preserve"> (Jakarta: </w:t>
      </w:r>
      <w:proofErr w:type="spellStart"/>
      <w:r w:rsidRPr="00F926A9">
        <w:rPr>
          <w:rFonts w:ascii="Cambria" w:hAnsi="Cambria"/>
          <w:sz w:val="18"/>
          <w:szCs w:val="18"/>
          <w:lang w:val="fi-FI"/>
        </w:rPr>
        <w:t>Rajawali</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Pers</w:t>
      </w:r>
      <w:proofErr w:type="spellEnd"/>
      <w:r w:rsidRPr="00F926A9">
        <w:rPr>
          <w:rFonts w:ascii="Cambria" w:hAnsi="Cambria"/>
          <w:sz w:val="18"/>
          <w:szCs w:val="18"/>
          <w:lang w:val="fi-FI"/>
        </w:rPr>
        <w:t>, 2015), 13–14.</w:t>
      </w:r>
    </w:p>
  </w:footnote>
  <w:footnote w:id="12">
    <w:p w14:paraId="3B669D0C" w14:textId="77777777" w:rsidR="00F926A9" w:rsidRPr="00F926A9" w:rsidRDefault="00F926A9" w:rsidP="00F926A9">
      <w:pPr>
        <w:spacing w:after="0" w:line="240" w:lineRule="auto"/>
        <w:jc w:val="both"/>
        <w:rPr>
          <w:rFonts w:ascii="Cambria" w:hAnsi="Cambria"/>
          <w:sz w:val="18"/>
          <w:szCs w:val="18"/>
          <w:lang w:val="fi-FI"/>
        </w:rPr>
      </w:pPr>
      <w:r w:rsidRPr="00F926A9">
        <w:rPr>
          <w:rStyle w:val="FootnoteReference"/>
          <w:rFonts w:ascii="Cambria" w:hAnsi="Cambria"/>
          <w:sz w:val="18"/>
          <w:szCs w:val="18"/>
        </w:rPr>
        <w:footnoteRef/>
      </w:r>
      <w:r w:rsidRPr="00F926A9">
        <w:rPr>
          <w:rFonts w:ascii="Cambria" w:hAnsi="Cambria"/>
          <w:sz w:val="18"/>
          <w:szCs w:val="18"/>
        </w:rPr>
        <w:t xml:space="preserve">Peter Mahmud Marzuki, </w:t>
      </w:r>
      <w:proofErr w:type="spellStart"/>
      <w:r w:rsidRPr="00F926A9">
        <w:rPr>
          <w:rFonts w:ascii="Cambria" w:hAnsi="Cambria"/>
          <w:i/>
          <w:iCs/>
          <w:sz w:val="18"/>
          <w:szCs w:val="18"/>
        </w:rPr>
        <w:t>Penelitian</w:t>
      </w:r>
      <w:proofErr w:type="spellEnd"/>
      <w:r w:rsidRPr="00F926A9">
        <w:rPr>
          <w:rFonts w:ascii="Cambria" w:hAnsi="Cambria"/>
          <w:i/>
          <w:iCs/>
          <w:sz w:val="18"/>
          <w:szCs w:val="18"/>
        </w:rPr>
        <w:t xml:space="preserve"> Hukum</w:t>
      </w:r>
      <w:r w:rsidRPr="00F926A9">
        <w:rPr>
          <w:rFonts w:ascii="Cambria" w:hAnsi="Cambria"/>
          <w:sz w:val="18"/>
          <w:szCs w:val="18"/>
        </w:rPr>
        <w:t xml:space="preserve">, rev. ed. </w:t>
      </w:r>
      <w:r w:rsidRPr="00F926A9">
        <w:rPr>
          <w:rFonts w:ascii="Cambria" w:hAnsi="Cambria"/>
          <w:sz w:val="18"/>
          <w:szCs w:val="18"/>
          <w:lang w:val="fi-FI"/>
        </w:rPr>
        <w:t xml:space="preserve">(Jakarta: </w:t>
      </w:r>
      <w:proofErr w:type="spellStart"/>
      <w:r w:rsidRPr="00F926A9">
        <w:rPr>
          <w:rFonts w:ascii="Cambria" w:hAnsi="Cambria"/>
          <w:sz w:val="18"/>
          <w:szCs w:val="18"/>
          <w:lang w:val="fi-FI"/>
        </w:rPr>
        <w:t>Kencana</w:t>
      </w:r>
      <w:proofErr w:type="spellEnd"/>
      <w:r w:rsidRPr="00F926A9">
        <w:rPr>
          <w:rFonts w:ascii="Cambria" w:hAnsi="Cambria"/>
          <w:sz w:val="18"/>
          <w:szCs w:val="18"/>
          <w:lang w:val="fi-FI"/>
        </w:rPr>
        <w:t>, 2021), 133–37.</w:t>
      </w:r>
    </w:p>
  </w:footnote>
  <w:footnote w:id="13">
    <w:p w14:paraId="6AA3AF45" w14:textId="77777777" w:rsidR="00F926A9" w:rsidRPr="00F926A9" w:rsidRDefault="00F926A9" w:rsidP="00F926A9">
      <w:pPr>
        <w:spacing w:after="0" w:line="240" w:lineRule="auto"/>
        <w:jc w:val="both"/>
        <w:rPr>
          <w:rFonts w:ascii="Cambria" w:hAnsi="Cambria"/>
          <w:sz w:val="18"/>
          <w:szCs w:val="18"/>
          <w:lang w:val="fi-FI"/>
        </w:rPr>
      </w:pPr>
      <w:r w:rsidRPr="00F926A9">
        <w:rPr>
          <w:rStyle w:val="FootnoteReference"/>
          <w:rFonts w:ascii="Cambria" w:hAnsi="Cambria"/>
          <w:sz w:val="18"/>
          <w:szCs w:val="18"/>
        </w:rPr>
        <w:footnoteRef/>
      </w:r>
      <w:proofErr w:type="spellStart"/>
      <w:r w:rsidRPr="00F926A9">
        <w:rPr>
          <w:rFonts w:ascii="Cambria" w:hAnsi="Cambria"/>
          <w:sz w:val="18"/>
          <w:szCs w:val="18"/>
          <w:lang w:val="fi-FI"/>
        </w:rPr>
        <w:t>Zainuddin</w:t>
      </w:r>
      <w:proofErr w:type="spellEnd"/>
      <w:r w:rsidRPr="00F926A9">
        <w:rPr>
          <w:rFonts w:ascii="Cambria" w:hAnsi="Cambria"/>
          <w:sz w:val="18"/>
          <w:szCs w:val="18"/>
          <w:lang w:val="fi-FI"/>
        </w:rPr>
        <w:t xml:space="preserve"> Ali, </w:t>
      </w:r>
      <w:proofErr w:type="spellStart"/>
      <w:r w:rsidRPr="00F926A9">
        <w:rPr>
          <w:rFonts w:ascii="Cambria" w:hAnsi="Cambria"/>
          <w:i/>
          <w:iCs/>
          <w:sz w:val="18"/>
          <w:szCs w:val="18"/>
          <w:lang w:val="fi-FI"/>
        </w:rPr>
        <w:t>Metode</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Penelitian</w:t>
      </w:r>
      <w:proofErr w:type="spellEnd"/>
      <w:r w:rsidRPr="00F926A9">
        <w:rPr>
          <w:rFonts w:ascii="Cambria" w:hAnsi="Cambria"/>
          <w:i/>
          <w:iCs/>
          <w:sz w:val="18"/>
          <w:szCs w:val="18"/>
          <w:lang w:val="fi-FI"/>
        </w:rPr>
        <w:t xml:space="preserve"> </w:t>
      </w:r>
      <w:proofErr w:type="spellStart"/>
      <w:r w:rsidRPr="00F926A9">
        <w:rPr>
          <w:rFonts w:ascii="Cambria" w:hAnsi="Cambria"/>
          <w:i/>
          <w:iCs/>
          <w:sz w:val="18"/>
          <w:szCs w:val="18"/>
          <w:lang w:val="fi-FI"/>
        </w:rPr>
        <w:t>Hukum</w:t>
      </w:r>
      <w:proofErr w:type="spellEnd"/>
      <w:r w:rsidRPr="00F926A9">
        <w:rPr>
          <w:rFonts w:ascii="Cambria" w:hAnsi="Cambria"/>
          <w:sz w:val="18"/>
          <w:szCs w:val="18"/>
          <w:lang w:val="fi-FI"/>
        </w:rPr>
        <w:t xml:space="preserve"> (Jakarta: </w:t>
      </w:r>
      <w:proofErr w:type="spellStart"/>
      <w:r w:rsidRPr="00F926A9">
        <w:rPr>
          <w:rFonts w:ascii="Cambria" w:hAnsi="Cambria"/>
          <w:sz w:val="18"/>
          <w:szCs w:val="18"/>
          <w:lang w:val="fi-FI"/>
        </w:rPr>
        <w:t>Sinar</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Grafika</w:t>
      </w:r>
      <w:proofErr w:type="spellEnd"/>
      <w:r w:rsidRPr="00F926A9">
        <w:rPr>
          <w:rFonts w:ascii="Cambria" w:hAnsi="Cambria"/>
          <w:sz w:val="18"/>
          <w:szCs w:val="18"/>
          <w:lang w:val="fi-FI"/>
        </w:rPr>
        <w:t>, 2021), 105–7.</w:t>
      </w:r>
    </w:p>
  </w:footnote>
  <w:footnote w:id="14">
    <w:p w14:paraId="2487E912" w14:textId="77777777" w:rsidR="00F926A9" w:rsidRPr="00F926A9" w:rsidRDefault="00F926A9" w:rsidP="00F926A9">
      <w:pPr>
        <w:spacing w:line="240" w:lineRule="auto"/>
        <w:jc w:val="both"/>
        <w:rPr>
          <w:rFonts w:ascii="Cambria" w:hAnsi="Cambria"/>
          <w:sz w:val="18"/>
          <w:szCs w:val="18"/>
          <w:lang w:val="fi-FI"/>
        </w:rPr>
      </w:pPr>
      <w:r w:rsidRPr="00F926A9">
        <w:rPr>
          <w:rStyle w:val="FootnoteReference"/>
          <w:rFonts w:ascii="Cambria" w:hAnsi="Cambria"/>
          <w:sz w:val="18"/>
          <w:szCs w:val="18"/>
        </w:rPr>
        <w:footnoteRef/>
      </w:r>
      <w:proofErr w:type="spellStart"/>
      <w:r w:rsidRPr="00F926A9">
        <w:rPr>
          <w:rFonts w:ascii="Cambria" w:hAnsi="Cambria"/>
          <w:sz w:val="18"/>
          <w:szCs w:val="18"/>
          <w:lang w:val="fi-FI"/>
        </w:rPr>
        <w:t>Lembaga</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Manajemen</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Kolektif</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Nasional</w:t>
      </w:r>
      <w:proofErr w:type="spellEnd"/>
      <w:r w:rsidRPr="00F926A9">
        <w:rPr>
          <w:rFonts w:ascii="Cambria" w:hAnsi="Cambria"/>
          <w:sz w:val="18"/>
          <w:szCs w:val="18"/>
          <w:lang w:val="fi-FI"/>
        </w:rPr>
        <w:t>, "</w:t>
      </w:r>
      <w:proofErr w:type="spellStart"/>
      <w:r w:rsidRPr="00F926A9">
        <w:rPr>
          <w:rFonts w:ascii="Cambria" w:hAnsi="Cambria"/>
          <w:sz w:val="18"/>
          <w:szCs w:val="18"/>
          <w:lang w:val="fi-FI"/>
        </w:rPr>
        <w:t>Kinerja</w:t>
      </w:r>
      <w:proofErr w:type="spellEnd"/>
      <w:r w:rsidRPr="00F926A9">
        <w:rPr>
          <w:rFonts w:ascii="Cambria" w:hAnsi="Cambria"/>
          <w:sz w:val="18"/>
          <w:szCs w:val="18"/>
          <w:lang w:val="fi-FI"/>
        </w:rPr>
        <w:t xml:space="preserve"> LMKN 2025 </w:t>
      </w:r>
      <w:proofErr w:type="spellStart"/>
      <w:r w:rsidRPr="00F926A9">
        <w:rPr>
          <w:rFonts w:ascii="Cambria" w:hAnsi="Cambria"/>
          <w:sz w:val="18"/>
          <w:szCs w:val="18"/>
          <w:lang w:val="fi-FI"/>
        </w:rPr>
        <w:t>dalam</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Angka</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Penghimpunan</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dan</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Distribusi</w:t>
      </w:r>
      <w:proofErr w:type="spellEnd"/>
      <w:r w:rsidRPr="00F926A9">
        <w:rPr>
          <w:rFonts w:ascii="Cambria" w:hAnsi="Cambria"/>
          <w:sz w:val="18"/>
          <w:szCs w:val="18"/>
          <w:lang w:val="fi-FI"/>
        </w:rPr>
        <w:t xml:space="preserve"> </w:t>
      </w:r>
      <w:proofErr w:type="spellStart"/>
      <w:r w:rsidRPr="00F926A9">
        <w:rPr>
          <w:rFonts w:ascii="Cambria" w:hAnsi="Cambria"/>
          <w:sz w:val="18"/>
          <w:szCs w:val="18"/>
          <w:lang w:val="fi-FI"/>
        </w:rPr>
        <w:t>Royalti</w:t>
      </w:r>
      <w:proofErr w:type="spellEnd"/>
      <w:r w:rsidRPr="00F926A9">
        <w:rPr>
          <w:rFonts w:ascii="Cambria" w:hAnsi="Cambria"/>
          <w:sz w:val="18"/>
          <w:szCs w:val="18"/>
          <w:lang w:val="fi-FI"/>
        </w:rPr>
        <w:t>," lmkn.id, 2026, https://www.lmkn.id/berita/artikel-original/kinerja-lmkn-2025-dalam-angka-penghimpunan-dan-distribusi-royalti.</w:t>
      </w:r>
    </w:p>
  </w:footnote>
  <w:footnote w:id="15">
    <w:p w14:paraId="70AD29E6" w14:textId="77777777" w:rsidR="00C16486" w:rsidRPr="00C16486" w:rsidRDefault="00C16486" w:rsidP="00C16486">
      <w:pPr>
        <w:spacing w:after="0" w:line="240" w:lineRule="auto"/>
        <w:jc w:val="both"/>
        <w:rPr>
          <w:rFonts w:ascii="Cambria" w:hAnsi="Cambria" w:cs="Cambria"/>
          <w:sz w:val="18"/>
          <w:szCs w:val="18"/>
          <w:lang w:val="fi-FI"/>
        </w:rPr>
      </w:pPr>
      <w:r w:rsidRPr="00C16486">
        <w:rPr>
          <w:rStyle w:val="FootnoteReference"/>
          <w:rFonts w:ascii="Cambria" w:hAnsi="Cambria"/>
          <w:sz w:val="18"/>
          <w:szCs w:val="18"/>
        </w:rPr>
        <w:footnoteRef/>
      </w:r>
      <w:proofErr w:type="spellStart"/>
      <w:r w:rsidRPr="00C16486">
        <w:rPr>
          <w:rFonts w:ascii="Cambria" w:hAnsi="Cambria"/>
          <w:sz w:val="18"/>
          <w:szCs w:val="18"/>
          <w:lang w:val="fi-FI"/>
        </w:rPr>
        <w:t>Soerjono</w:t>
      </w:r>
      <w:proofErr w:type="spellEnd"/>
      <w:r w:rsidRPr="00C16486">
        <w:rPr>
          <w:rFonts w:ascii="Cambria" w:hAnsi="Cambria"/>
          <w:sz w:val="18"/>
          <w:szCs w:val="18"/>
          <w:lang w:val="fi-FI"/>
        </w:rPr>
        <w:t xml:space="preserve"> </w:t>
      </w:r>
      <w:proofErr w:type="spellStart"/>
      <w:r w:rsidRPr="00C16486">
        <w:rPr>
          <w:rFonts w:ascii="Cambria" w:hAnsi="Cambria"/>
          <w:sz w:val="18"/>
          <w:szCs w:val="18"/>
          <w:lang w:val="fi-FI"/>
        </w:rPr>
        <w:t>Soekanto</w:t>
      </w:r>
      <w:proofErr w:type="spellEnd"/>
      <w:r w:rsidRPr="00C16486">
        <w:rPr>
          <w:rFonts w:ascii="Cambria" w:hAnsi="Cambria"/>
          <w:sz w:val="18"/>
          <w:szCs w:val="18"/>
          <w:lang w:val="fi-FI"/>
        </w:rPr>
        <w:t xml:space="preserve">, </w:t>
      </w:r>
      <w:proofErr w:type="spellStart"/>
      <w:r w:rsidRPr="00C16486">
        <w:rPr>
          <w:rFonts w:ascii="Cambria" w:hAnsi="Cambria"/>
          <w:i/>
          <w:iCs/>
          <w:sz w:val="18"/>
          <w:szCs w:val="18"/>
          <w:lang w:val="fi-FI"/>
        </w:rPr>
        <w:t>Faktor-Faktor</w:t>
      </w:r>
      <w:proofErr w:type="spellEnd"/>
      <w:r w:rsidRPr="00C16486">
        <w:rPr>
          <w:rFonts w:ascii="Cambria" w:hAnsi="Cambria"/>
          <w:i/>
          <w:iCs/>
          <w:sz w:val="18"/>
          <w:szCs w:val="18"/>
          <w:lang w:val="fi-FI"/>
        </w:rPr>
        <w:t xml:space="preserve"> </w:t>
      </w:r>
      <w:proofErr w:type="spellStart"/>
      <w:r w:rsidRPr="00C16486">
        <w:rPr>
          <w:rFonts w:ascii="Cambria" w:hAnsi="Cambria"/>
          <w:i/>
          <w:iCs/>
          <w:sz w:val="18"/>
          <w:szCs w:val="18"/>
          <w:lang w:val="fi-FI"/>
        </w:rPr>
        <w:t>yang</w:t>
      </w:r>
      <w:proofErr w:type="spellEnd"/>
      <w:r w:rsidRPr="00C16486">
        <w:rPr>
          <w:rFonts w:ascii="Cambria" w:hAnsi="Cambria"/>
          <w:i/>
          <w:iCs/>
          <w:sz w:val="18"/>
          <w:szCs w:val="18"/>
          <w:lang w:val="fi-FI"/>
        </w:rPr>
        <w:t xml:space="preserve"> </w:t>
      </w:r>
      <w:proofErr w:type="spellStart"/>
      <w:r w:rsidRPr="00C16486">
        <w:rPr>
          <w:rFonts w:ascii="Cambria" w:hAnsi="Cambria"/>
          <w:i/>
          <w:iCs/>
          <w:sz w:val="18"/>
          <w:szCs w:val="18"/>
          <w:lang w:val="fi-FI"/>
        </w:rPr>
        <w:t>Mempengaruhi</w:t>
      </w:r>
      <w:proofErr w:type="spellEnd"/>
      <w:r w:rsidRPr="00C16486">
        <w:rPr>
          <w:rFonts w:ascii="Cambria" w:hAnsi="Cambria"/>
          <w:i/>
          <w:iCs/>
          <w:sz w:val="18"/>
          <w:szCs w:val="18"/>
          <w:lang w:val="fi-FI"/>
        </w:rPr>
        <w:t xml:space="preserve"> </w:t>
      </w:r>
      <w:proofErr w:type="spellStart"/>
      <w:r w:rsidRPr="00C16486">
        <w:rPr>
          <w:rFonts w:ascii="Cambria" w:hAnsi="Cambria"/>
          <w:i/>
          <w:iCs/>
          <w:sz w:val="18"/>
          <w:szCs w:val="18"/>
          <w:lang w:val="fi-FI"/>
        </w:rPr>
        <w:t>Penegakan</w:t>
      </w:r>
      <w:proofErr w:type="spellEnd"/>
      <w:r w:rsidRPr="00C16486">
        <w:rPr>
          <w:rFonts w:ascii="Cambria" w:hAnsi="Cambria"/>
          <w:i/>
          <w:iCs/>
          <w:sz w:val="18"/>
          <w:szCs w:val="18"/>
          <w:lang w:val="fi-FI"/>
        </w:rPr>
        <w:t xml:space="preserve"> </w:t>
      </w:r>
      <w:proofErr w:type="spellStart"/>
      <w:r w:rsidRPr="00C16486">
        <w:rPr>
          <w:rFonts w:ascii="Cambria" w:hAnsi="Cambria"/>
          <w:i/>
          <w:iCs/>
          <w:sz w:val="18"/>
          <w:szCs w:val="18"/>
          <w:lang w:val="fi-FI"/>
        </w:rPr>
        <w:t>Hukum</w:t>
      </w:r>
      <w:proofErr w:type="spellEnd"/>
      <w:r w:rsidRPr="00C16486">
        <w:rPr>
          <w:rFonts w:ascii="Cambria" w:hAnsi="Cambria"/>
          <w:sz w:val="18"/>
          <w:szCs w:val="18"/>
          <w:lang w:val="fi-FI"/>
        </w:rPr>
        <w:t xml:space="preserve"> (Jakarta: </w:t>
      </w:r>
      <w:proofErr w:type="spellStart"/>
      <w:r w:rsidRPr="00C16486">
        <w:rPr>
          <w:rFonts w:ascii="Cambria" w:hAnsi="Cambria"/>
          <w:sz w:val="18"/>
          <w:szCs w:val="18"/>
          <w:lang w:val="fi-FI"/>
        </w:rPr>
        <w:t>Rajawali</w:t>
      </w:r>
      <w:proofErr w:type="spellEnd"/>
      <w:r w:rsidRPr="00C16486">
        <w:rPr>
          <w:rFonts w:ascii="Cambria" w:hAnsi="Cambria"/>
          <w:sz w:val="18"/>
          <w:szCs w:val="18"/>
          <w:lang w:val="fi-FI"/>
        </w:rPr>
        <w:t xml:space="preserve"> </w:t>
      </w:r>
      <w:proofErr w:type="spellStart"/>
      <w:r w:rsidRPr="00C16486">
        <w:rPr>
          <w:rFonts w:ascii="Cambria" w:hAnsi="Cambria"/>
          <w:sz w:val="18"/>
          <w:szCs w:val="18"/>
          <w:lang w:val="fi-FI"/>
        </w:rPr>
        <w:t>Pers</w:t>
      </w:r>
      <w:proofErr w:type="spellEnd"/>
      <w:r w:rsidRPr="00C16486">
        <w:rPr>
          <w:rFonts w:ascii="Cambria" w:hAnsi="Cambria"/>
          <w:sz w:val="18"/>
          <w:szCs w:val="18"/>
          <w:lang w:val="fi-FI"/>
        </w:rPr>
        <w:t>, 2014), 8–9.</w:t>
      </w:r>
    </w:p>
  </w:footnote>
  <w:footnote w:id="16">
    <w:p w14:paraId="3E2D4F0C" w14:textId="77777777" w:rsidR="00C16486" w:rsidRPr="00C16486" w:rsidRDefault="00C16486" w:rsidP="00C16486">
      <w:pPr>
        <w:spacing w:after="0" w:line="240" w:lineRule="auto"/>
        <w:jc w:val="both"/>
        <w:rPr>
          <w:rFonts w:ascii="Cambria" w:hAnsi="Cambria"/>
          <w:sz w:val="18"/>
          <w:szCs w:val="18"/>
        </w:rPr>
      </w:pPr>
      <w:r w:rsidRPr="00C16486">
        <w:rPr>
          <w:rStyle w:val="FootnoteReference"/>
          <w:rFonts w:ascii="Cambria" w:hAnsi="Cambria"/>
          <w:sz w:val="18"/>
          <w:szCs w:val="18"/>
        </w:rPr>
        <w:footnoteRef/>
      </w:r>
      <w:r w:rsidRPr="00C16486">
        <w:rPr>
          <w:rFonts w:ascii="Cambria" w:hAnsi="Cambria"/>
          <w:sz w:val="18"/>
          <w:szCs w:val="18"/>
        </w:rPr>
        <w:t xml:space="preserve">Lawrence M. Friedman, </w:t>
      </w:r>
      <w:r w:rsidRPr="00C16486">
        <w:rPr>
          <w:rFonts w:ascii="Cambria" w:hAnsi="Cambria"/>
          <w:i/>
          <w:iCs/>
          <w:sz w:val="18"/>
          <w:szCs w:val="18"/>
        </w:rPr>
        <w:t>The Legal System: A Social Science Perspective</w:t>
      </w:r>
      <w:r w:rsidRPr="00C16486">
        <w:rPr>
          <w:rFonts w:ascii="Cambria" w:hAnsi="Cambria"/>
          <w:sz w:val="18"/>
          <w:szCs w:val="18"/>
        </w:rPr>
        <w:t xml:space="preserve"> (New York: Russell Sage Foundation, 1975), 14–16.</w:t>
      </w:r>
    </w:p>
  </w:footnote>
  <w:footnote w:id="17">
    <w:p w14:paraId="6B3E47D0" w14:textId="77777777" w:rsidR="00C16486" w:rsidRPr="00C16486" w:rsidRDefault="00C16486" w:rsidP="00C16486">
      <w:pPr>
        <w:spacing w:after="0" w:line="240" w:lineRule="auto"/>
        <w:jc w:val="both"/>
        <w:rPr>
          <w:rFonts w:ascii="Cambria" w:hAnsi="Cambria"/>
          <w:sz w:val="18"/>
          <w:szCs w:val="18"/>
        </w:rPr>
      </w:pPr>
      <w:r w:rsidRPr="00C16486">
        <w:rPr>
          <w:rStyle w:val="FootnoteReference"/>
          <w:rFonts w:ascii="Cambria" w:hAnsi="Cambria"/>
          <w:sz w:val="18"/>
          <w:szCs w:val="18"/>
        </w:rPr>
        <w:footnoteRef/>
      </w:r>
      <w:proofErr w:type="spellStart"/>
      <w:r w:rsidRPr="00C16486">
        <w:rPr>
          <w:rFonts w:ascii="Cambria" w:hAnsi="Cambria"/>
          <w:sz w:val="18"/>
          <w:szCs w:val="18"/>
        </w:rPr>
        <w:t>Philipus</w:t>
      </w:r>
      <w:proofErr w:type="spellEnd"/>
      <w:r w:rsidRPr="00C16486">
        <w:rPr>
          <w:rFonts w:ascii="Cambria" w:hAnsi="Cambria"/>
          <w:sz w:val="18"/>
          <w:szCs w:val="18"/>
        </w:rPr>
        <w:t xml:space="preserve"> M. </w:t>
      </w:r>
      <w:proofErr w:type="spellStart"/>
      <w:r w:rsidRPr="00C16486">
        <w:rPr>
          <w:rFonts w:ascii="Cambria" w:hAnsi="Cambria"/>
          <w:sz w:val="18"/>
          <w:szCs w:val="18"/>
        </w:rPr>
        <w:t>Hadjon</w:t>
      </w:r>
      <w:proofErr w:type="spellEnd"/>
      <w:r w:rsidRPr="00C16486">
        <w:rPr>
          <w:rFonts w:ascii="Cambria" w:hAnsi="Cambria"/>
          <w:sz w:val="18"/>
          <w:szCs w:val="18"/>
        </w:rPr>
        <w:t xml:space="preserve">, </w:t>
      </w:r>
      <w:proofErr w:type="spellStart"/>
      <w:r w:rsidRPr="00C16486">
        <w:rPr>
          <w:rFonts w:ascii="Cambria" w:hAnsi="Cambria"/>
          <w:i/>
          <w:iCs/>
          <w:sz w:val="18"/>
          <w:szCs w:val="18"/>
        </w:rPr>
        <w:t>Perlindungan</w:t>
      </w:r>
      <w:proofErr w:type="spellEnd"/>
      <w:r w:rsidRPr="00C16486">
        <w:rPr>
          <w:rFonts w:ascii="Cambria" w:hAnsi="Cambria"/>
          <w:i/>
          <w:iCs/>
          <w:sz w:val="18"/>
          <w:szCs w:val="18"/>
        </w:rPr>
        <w:t xml:space="preserve"> Hukum bagi Rakyat di Indonesia</w:t>
      </w:r>
      <w:r w:rsidRPr="00C16486">
        <w:rPr>
          <w:rFonts w:ascii="Cambria" w:hAnsi="Cambria"/>
          <w:sz w:val="18"/>
          <w:szCs w:val="18"/>
        </w:rPr>
        <w:t xml:space="preserve"> (Surabaya: Bina Ilmu, 1987), 2–5.</w:t>
      </w:r>
    </w:p>
  </w:footnote>
  <w:footnote w:id="18">
    <w:p w14:paraId="4F55E934" w14:textId="77777777" w:rsidR="00C16486" w:rsidRPr="00C16486" w:rsidRDefault="00C16486" w:rsidP="00C16486">
      <w:pPr>
        <w:spacing w:after="0" w:line="240" w:lineRule="auto"/>
        <w:jc w:val="both"/>
        <w:rPr>
          <w:rFonts w:ascii="Cambria" w:hAnsi="Cambria"/>
          <w:sz w:val="18"/>
          <w:szCs w:val="18"/>
        </w:rPr>
      </w:pPr>
      <w:r w:rsidRPr="00C16486">
        <w:rPr>
          <w:rStyle w:val="FootnoteReference"/>
          <w:rFonts w:ascii="Cambria" w:hAnsi="Cambria"/>
          <w:sz w:val="18"/>
          <w:szCs w:val="18"/>
        </w:rPr>
        <w:footnoteRef/>
      </w:r>
      <w:r w:rsidRPr="00C16486">
        <w:rPr>
          <w:rFonts w:ascii="Cambria" w:hAnsi="Cambria"/>
          <w:sz w:val="18"/>
          <w:szCs w:val="18"/>
        </w:rPr>
        <w:t xml:space="preserve">Ian Ayres and John Braithwaite, </w:t>
      </w:r>
      <w:r w:rsidRPr="00C16486">
        <w:rPr>
          <w:rFonts w:ascii="Cambria" w:hAnsi="Cambria"/>
          <w:i/>
          <w:iCs/>
          <w:sz w:val="18"/>
          <w:szCs w:val="18"/>
        </w:rPr>
        <w:t>Responsive Regulation: Transcending the Deregulation Debate</w:t>
      </w:r>
      <w:r w:rsidRPr="00C16486">
        <w:rPr>
          <w:rFonts w:ascii="Cambria" w:hAnsi="Cambria"/>
          <w:sz w:val="18"/>
          <w:szCs w:val="18"/>
        </w:rPr>
        <w:t xml:space="preserve"> (New York: Oxford University Press, 1992), 35–40.</w:t>
      </w:r>
    </w:p>
  </w:footnote>
  <w:footnote w:id="19">
    <w:p w14:paraId="2DE0466F" w14:textId="77777777" w:rsidR="00C16486" w:rsidRDefault="00C16486" w:rsidP="00C16486">
      <w:pPr>
        <w:spacing w:after="0" w:line="240" w:lineRule="auto"/>
        <w:jc w:val="both"/>
      </w:pPr>
      <w:r w:rsidRPr="00C16486">
        <w:rPr>
          <w:rStyle w:val="FootnoteReference"/>
          <w:rFonts w:ascii="Cambria" w:hAnsi="Cambria"/>
          <w:sz w:val="18"/>
          <w:szCs w:val="18"/>
        </w:rPr>
        <w:footnoteRef/>
      </w:r>
      <w:r w:rsidRPr="00C16486">
        <w:rPr>
          <w:rFonts w:ascii="Cambria" w:hAnsi="Cambria"/>
          <w:sz w:val="18"/>
          <w:szCs w:val="18"/>
        </w:rPr>
        <w:t xml:space="preserve">John Braithwaite, </w:t>
      </w:r>
      <w:r w:rsidRPr="00C16486">
        <w:rPr>
          <w:rFonts w:ascii="Cambria" w:hAnsi="Cambria"/>
          <w:i/>
          <w:iCs/>
          <w:sz w:val="18"/>
          <w:szCs w:val="18"/>
        </w:rPr>
        <w:t>Crime, Shame and Reintegration</w:t>
      </w:r>
      <w:r w:rsidRPr="00C16486">
        <w:rPr>
          <w:rFonts w:ascii="Cambria" w:hAnsi="Cambria"/>
          <w:sz w:val="18"/>
          <w:szCs w:val="18"/>
        </w:rPr>
        <w:t xml:space="preserve"> (Cambridge: Cambridge University Press, 1989), 100–103.</w:t>
      </w:r>
    </w:p>
  </w:footnote>
  <w:footnote w:id="20">
    <w:p w14:paraId="0FFAE24D" w14:textId="77777777" w:rsidR="00C16486" w:rsidRPr="00C16486" w:rsidRDefault="00C16486" w:rsidP="00C16486">
      <w:pPr>
        <w:spacing w:line="240" w:lineRule="auto"/>
        <w:jc w:val="both"/>
        <w:rPr>
          <w:rFonts w:ascii="Cambria" w:hAnsi="Cambria"/>
          <w:sz w:val="18"/>
          <w:szCs w:val="18"/>
        </w:rPr>
      </w:pPr>
      <w:r w:rsidRPr="00C16486">
        <w:rPr>
          <w:rStyle w:val="FootnoteReference"/>
          <w:rFonts w:ascii="Cambria" w:hAnsi="Cambria"/>
          <w:sz w:val="18"/>
          <w:szCs w:val="18"/>
        </w:rPr>
        <w:footnoteRef/>
      </w:r>
      <w:r w:rsidRPr="00C16486">
        <w:rPr>
          <w:rFonts w:ascii="Cambria" w:hAnsi="Cambria"/>
          <w:sz w:val="18"/>
          <w:szCs w:val="18"/>
        </w:rPr>
        <w:t xml:space="preserve">Howard Zehr, </w:t>
      </w:r>
      <w:r w:rsidRPr="00C16486">
        <w:rPr>
          <w:rFonts w:ascii="Cambria" w:hAnsi="Cambria"/>
          <w:i/>
          <w:iCs/>
          <w:sz w:val="18"/>
          <w:szCs w:val="18"/>
        </w:rPr>
        <w:t>The Little Book of Restorative Justice</w:t>
      </w:r>
      <w:r w:rsidRPr="00C16486">
        <w:rPr>
          <w:rFonts w:ascii="Cambria" w:hAnsi="Cambria"/>
          <w:sz w:val="18"/>
          <w:szCs w:val="18"/>
        </w:rPr>
        <w:t>, rev. ed. (New York: Good Books, 2015), 30–33.</w:t>
      </w:r>
    </w:p>
  </w:footnote>
  <w:footnote w:id="21">
    <w:p w14:paraId="4FE362A6" w14:textId="77777777" w:rsidR="00C16486" w:rsidRDefault="00C16486" w:rsidP="00C16486">
      <w:pPr>
        <w:rPr>
          <w:rFonts w:ascii="Cambria" w:hAnsi="Cambria" w:cs="Cambria"/>
        </w:rPr>
      </w:pPr>
    </w:p>
    <w:p w14:paraId="614C51D2" w14:textId="77777777" w:rsidR="00C16486" w:rsidRDefault="00C16486" w:rsidP="00C16486"/>
  </w:footnote>
  <w:footnote w:id="22">
    <w:p w14:paraId="47EBC51F" w14:textId="77777777" w:rsidR="00C16486" w:rsidRDefault="00C16486" w:rsidP="00C16486">
      <w:pPr>
        <w:spacing w:line="240" w:lineRule="auto"/>
        <w:jc w:val="both"/>
      </w:pPr>
      <w:r>
        <w:rPr>
          <w:rStyle w:val="FootnoteReference"/>
        </w:rPr>
        <w:footnoteRef/>
      </w:r>
      <w:r>
        <w:rPr>
          <w:sz w:val="18"/>
          <w:szCs w:val="18"/>
        </w:rPr>
        <w:t xml:space="preserve">Merdeka.com, "Polda Bali </w:t>
      </w:r>
      <w:proofErr w:type="spellStart"/>
      <w:r>
        <w:rPr>
          <w:sz w:val="18"/>
          <w:szCs w:val="18"/>
        </w:rPr>
        <w:t>Akhirnya</w:t>
      </w:r>
      <w:proofErr w:type="spellEnd"/>
      <w:r>
        <w:rPr>
          <w:sz w:val="18"/>
          <w:szCs w:val="18"/>
        </w:rPr>
        <w:t xml:space="preserve"> </w:t>
      </w:r>
      <w:proofErr w:type="spellStart"/>
      <w:r>
        <w:rPr>
          <w:sz w:val="18"/>
          <w:szCs w:val="18"/>
        </w:rPr>
        <w:t>Hentikan</w:t>
      </w:r>
      <w:proofErr w:type="spellEnd"/>
      <w:r>
        <w:rPr>
          <w:sz w:val="18"/>
          <w:szCs w:val="18"/>
        </w:rPr>
        <w:t xml:space="preserve"> </w:t>
      </w:r>
      <w:proofErr w:type="spellStart"/>
      <w:r>
        <w:rPr>
          <w:sz w:val="18"/>
          <w:szCs w:val="18"/>
        </w:rPr>
        <w:t>Kasus</w:t>
      </w:r>
      <w:proofErr w:type="spellEnd"/>
      <w:r>
        <w:rPr>
          <w:sz w:val="18"/>
          <w:szCs w:val="18"/>
        </w:rPr>
        <w:t xml:space="preserve"> Royalti Musik Mie Gacoan </w:t>
      </w:r>
      <w:proofErr w:type="spellStart"/>
      <w:r>
        <w:rPr>
          <w:sz w:val="18"/>
          <w:szCs w:val="18"/>
        </w:rPr>
        <w:t>Setelah</w:t>
      </w:r>
      <w:proofErr w:type="spellEnd"/>
      <w:r>
        <w:rPr>
          <w:sz w:val="18"/>
          <w:szCs w:val="18"/>
        </w:rPr>
        <w:t xml:space="preserve"> </w:t>
      </w:r>
      <w:proofErr w:type="spellStart"/>
      <w:r>
        <w:rPr>
          <w:sz w:val="18"/>
          <w:szCs w:val="18"/>
        </w:rPr>
        <w:t>Pembayaran</w:t>
      </w:r>
      <w:proofErr w:type="spellEnd"/>
      <w:r>
        <w:rPr>
          <w:sz w:val="18"/>
          <w:szCs w:val="18"/>
        </w:rPr>
        <w:t xml:space="preserve"> Rp 2,2 Miliar," merdeka.com, 29 August 2025, https://www.merdeka.com/peristiwa/polda-bali-akhirnya-hentikan-kasus-royalti-musik-mie-gacoan-setelah-pembayaran-rp-22-miliar-460613-mvk.html.</w:t>
      </w:r>
    </w:p>
  </w:footnote>
  <w:footnote w:id="23">
    <w:p w14:paraId="3AF61C51" w14:textId="77777777" w:rsidR="00C16486" w:rsidRPr="00C16486" w:rsidRDefault="00C16486" w:rsidP="00C16486">
      <w:pPr>
        <w:spacing w:after="0" w:line="240" w:lineRule="auto"/>
        <w:jc w:val="both"/>
        <w:rPr>
          <w:rFonts w:ascii="Cambria" w:hAnsi="Cambria"/>
          <w:sz w:val="18"/>
          <w:szCs w:val="18"/>
        </w:rPr>
      </w:pPr>
      <w:r w:rsidRPr="00C16486">
        <w:rPr>
          <w:rStyle w:val="FootnoteReference"/>
          <w:rFonts w:ascii="Cambria" w:hAnsi="Cambria"/>
          <w:sz w:val="18"/>
          <w:szCs w:val="18"/>
        </w:rPr>
        <w:footnoteRef/>
      </w:r>
      <w:proofErr w:type="spellStart"/>
      <w:r w:rsidRPr="00C16486">
        <w:rPr>
          <w:rFonts w:ascii="Cambria" w:hAnsi="Cambria"/>
          <w:sz w:val="18"/>
          <w:szCs w:val="18"/>
        </w:rPr>
        <w:t>Satjipto</w:t>
      </w:r>
      <w:proofErr w:type="spellEnd"/>
      <w:r w:rsidRPr="00C16486">
        <w:rPr>
          <w:rFonts w:ascii="Cambria" w:hAnsi="Cambria"/>
          <w:sz w:val="18"/>
          <w:szCs w:val="18"/>
        </w:rPr>
        <w:t xml:space="preserve"> Rahardjo, </w:t>
      </w:r>
      <w:proofErr w:type="spellStart"/>
      <w:r w:rsidRPr="00C16486">
        <w:rPr>
          <w:rFonts w:ascii="Cambria" w:hAnsi="Cambria"/>
          <w:i/>
          <w:iCs/>
          <w:sz w:val="18"/>
          <w:szCs w:val="18"/>
        </w:rPr>
        <w:t>Masalah</w:t>
      </w:r>
      <w:proofErr w:type="spellEnd"/>
      <w:r w:rsidRPr="00C16486">
        <w:rPr>
          <w:rFonts w:ascii="Cambria" w:hAnsi="Cambria"/>
          <w:i/>
          <w:iCs/>
          <w:sz w:val="18"/>
          <w:szCs w:val="18"/>
        </w:rPr>
        <w:t xml:space="preserve"> </w:t>
      </w:r>
      <w:proofErr w:type="spellStart"/>
      <w:r w:rsidRPr="00C16486">
        <w:rPr>
          <w:rFonts w:ascii="Cambria" w:hAnsi="Cambria"/>
          <w:i/>
          <w:iCs/>
          <w:sz w:val="18"/>
          <w:szCs w:val="18"/>
        </w:rPr>
        <w:t>Penegakan</w:t>
      </w:r>
      <w:proofErr w:type="spellEnd"/>
      <w:r w:rsidRPr="00C16486">
        <w:rPr>
          <w:rFonts w:ascii="Cambria" w:hAnsi="Cambria"/>
          <w:i/>
          <w:iCs/>
          <w:sz w:val="18"/>
          <w:szCs w:val="18"/>
        </w:rPr>
        <w:t xml:space="preserve"> Hukum: </w:t>
      </w:r>
      <w:proofErr w:type="spellStart"/>
      <w:r w:rsidRPr="00C16486">
        <w:rPr>
          <w:rFonts w:ascii="Cambria" w:hAnsi="Cambria"/>
          <w:i/>
          <w:iCs/>
          <w:sz w:val="18"/>
          <w:szCs w:val="18"/>
        </w:rPr>
        <w:t>Suatu</w:t>
      </w:r>
      <w:proofErr w:type="spellEnd"/>
      <w:r w:rsidRPr="00C16486">
        <w:rPr>
          <w:rFonts w:ascii="Cambria" w:hAnsi="Cambria"/>
          <w:i/>
          <w:iCs/>
          <w:sz w:val="18"/>
          <w:szCs w:val="18"/>
        </w:rPr>
        <w:t xml:space="preserve"> </w:t>
      </w:r>
      <w:proofErr w:type="spellStart"/>
      <w:r w:rsidRPr="00C16486">
        <w:rPr>
          <w:rFonts w:ascii="Cambria" w:hAnsi="Cambria"/>
          <w:i/>
          <w:iCs/>
          <w:sz w:val="18"/>
          <w:szCs w:val="18"/>
        </w:rPr>
        <w:t>Tinjauan</w:t>
      </w:r>
      <w:proofErr w:type="spellEnd"/>
      <w:r w:rsidRPr="00C16486">
        <w:rPr>
          <w:rFonts w:ascii="Cambria" w:hAnsi="Cambria"/>
          <w:i/>
          <w:iCs/>
          <w:sz w:val="18"/>
          <w:szCs w:val="18"/>
        </w:rPr>
        <w:t xml:space="preserve"> </w:t>
      </w:r>
      <w:proofErr w:type="spellStart"/>
      <w:r w:rsidRPr="00C16486">
        <w:rPr>
          <w:rFonts w:ascii="Cambria" w:hAnsi="Cambria"/>
          <w:i/>
          <w:iCs/>
          <w:sz w:val="18"/>
          <w:szCs w:val="18"/>
        </w:rPr>
        <w:t>Sosiologis</w:t>
      </w:r>
      <w:proofErr w:type="spellEnd"/>
      <w:r w:rsidRPr="00C16486">
        <w:rPr>
          <w:rFonts w:ascii="Cambria" w:hAnsi="Cambria"/>
          <w:sz w:val="18"/>
          <w:szCs w:val="18"/>
        </w:rPr>
        <w:t xml:space="preserve"> (Bandung: Sinar Baru, 1983), 24.</w:t>
      </w:r>
    </w:p>
  </w:footnote>
  <w:footnote w:id="24">
    <w:p w14:paraId="0EA9120A" w14:textId="77777777" w:rsidR="00C16486" w:rsidRDefault="00C16486" w:rsidP="00C16486">
      <w:pPr>
        <w:spacing w:after="0" w:line="240" w:lineRule="auto"/>
        <w:jc w:val="both"/>
      </w:pPr>
      <w:r w:rsidRPr="00C16486">
        <w:rPr>
          <w:rStyle w:val="FootnoteReference"/>
          <w:rFonts w:ascii="Cambria" w:hAnsi="Cambria"/>
          <w:sz w:val="18"/>
          <w:szCs w:val="18"/>
        </w:rPr>
        <w:footnoteRef/>
      </w:r>
      <w:r w:rsidRPr="00C16486">
        <w:rPr>
          <w:rFonts w:ascii="Cambria" w:hAnsi="Cambria"/>
          <w:sz w:val="18"/>
          <w:szCs w:val="18"/>
        </w:rPr>
        <w:t xml:space="preserve">Radar Bali, "Bayar Royalti Rp 2,2 M, Status </w:t>
      </w:r>
      <w:proofErr w:type="spellStart"/>
      <w:r w:rsidRPr="00C16486">
        <w:rPr>
          <w:rFonts w:ascii="Cambria" w:hAnsi="Cambria"/>
          <w:sz w:val="18"/>
          <w:szCs w:val="18"/>
        </w:rPr>
        <w:t>Tersangka</w:t>
      </w:r>
      <w:proofErr w:type="spellEnd"/>
      <w:r w:rsidRPr="00C16486">
        <w:rPr>
          <w:rFonts w:ascii="Cambria" w:hAnsi="Cambria"/>
          <w:sz w:val="18"/>
          <w:szCs w:val="18"/>
        </w:rPr>
        <w:t xml:space="preserve"> </w:t>
      </w:r>
      <w:proofErr w:type="spellStart"/>
      <w:r w:rsidRPr="00C16486">
        <w:rPr>
          <w:rFonts w:ascii="Cambria" w:hAnsi="Cambria"/>
          <w:sz w:val="18"/>
          <w:szCs w:val="18"/>
        </w:rPr>
        <w:t>Direktur</w:t>
      </w:r>
      <w:proofErr w:type="spellEnd"/>
      <w:r w:rsidRPr="00C16486">
        <w:rPr>
          <w:rFonts w:ascii="Cambria" w:hAnsi="Cambria"/>
          <w:sz w:val="18"/>
          <w:szCs w:val="18"/>
        </w:rPr>
        <w:t xml:space="preserve"> Mie Gacoan Bakal </w:t>
      </w:r>
      <w:proofErr w:type="spellStart"/>
      <w:r w:rsidRPr="00C16486">
        <w:rPr>
          <w:rFonts w:ascii="Cambria" w:hAnsi="Cambria"/>
          <w:sz w:val="18"/>
          <w:szCs w:val="18"/>
        </w:rPr>
        <w:t>Dicabut</w:t>
      </w:r>
      <w:proofErr w:type="spellEnd"/>
      <w:r w:rsidRPr="00C16486">
        <w:rPr>
          <w:rFonts w:ascii="Cambria" w:hAnsi="Cambria"/>
          <w:sz w:val="18"/>
          <w:szCs w:val="18"/>
        </w:rPr>
        <w:t>," radarbali.jawapos.com, 9 August 2025.</w:t>
      </w:r>
    </w:p>
  </w:footnote>
  <w:footnote w:id="25">
    <w:p w14:paraId="4EAE11CA" w14:textId="77777777" w:rsidR="006E68E3" w:rsidRDefault="006E68E3" w:rsidP="006E68E3"/>
  </w:footnote>
  <w:footnote w:id="26">
    <w:p w14:paraId="06ED422F" w14:textId="77777777" w:rsidR="006E68E3" w:rsidRPr="006E68E3" w:rsidRDefault="006E68E3" w:rsidP="006E68E3">
      <w:pPr>
        <w:spacing w:line="240" w:lineRule="auto"/>
        <w:jc w:val="both"/>
        <w:rPr>
          <w:rFonts w:ascii="Cambria" w:hAnsi="Cambria"/>
          <w:sz w:val="18"/>
          <w:szCs w:val="18"/>
        </w:rPr>
      </w:pPr>
      <w:r w:rsidRPr="006E68E3">
        <w:rPr>
          <w:rStyle w:val="FootnoteReference"/>
          <w:rFonts w:ascii="Cambria" w:hAnsi="Cambria"/>
          <w:sz w:val="18"/>
          <w:szCs w:val="18"/>
        </w:rPr>
        <w:footnoteRef/>
      </w:r>
      <w:r w:rsidRPr="006E68E3">
        <w:rPr>
          <w:rFonts w:ascii="Cambria" w:hAnsi="Cambria"/>
          <w:sz w:val="18"/>
          <w:szCs w:val="18"/>
        </w:rPr>
        <w:t xml:space="preserve">Rahmi </w:t>
      </w:r>
      <w:proofErr w:type="spellStart"/>
      <w:r w:rsidRPr="006E68E3">
        <w:rPr>
          <w:rFonts w:ascii="Cambria" w:hAnsi="Cambria"/>
          <w:sz w:val="18"/>
          <w:szCs w:val="18"/>
        </w:rPr>
        <w:t>Jened</w:t>
      </w:r>
      <w:proofErr w:type="spellEnd"/>
      <w:r w:rsidRPr="006E68E3">
        <w:rPr>
          <w:rFonts w:ascii="Cambria" w:hAnsi="Cambria"/>
          <w:sz w:val="18"/>
          <w:szCs w:val="18"/>
        </w:rPr>
        <w:t xml:space="preserve">, </w:t>
      </w:r>
      <w:r w:rsidRPr="006E68E3">
        <w:rPr>
          <w:rFonts w:ascii="Cambria" w:hAnsi="Cambria"/>
          <w:i/>
          <w:iCs/>
          <w:sz w:val="18"/>
          <w:szCs w:val="18"/>
        </w:rPr>
        <w:t>Hukum Hak Cipta (Copyright Law)</w:t>
      </w:r>
      <w:r w:rsidRPr="006E68E3">
        <w:rPr>
          <w:rFonts w:ascii="Cambria" w:hAnsi="Cambria"/>
          <w:sz w:val="18"/>
          <w:szCs w:val="18"/>
        </w:rPr>
        <w:t xml:space="preserve"> (Bandung: Citra Aditya Bakti, 2014), 122–25.</w:t>
      </w:r>
    </w:p>
  </w:footnote>
  <w:footnote w:id="27">
    <w:p w14:paraId="3A170D48" w14:textId="77777777" w:rsidR="006E68E3" w:rsidRDefault="006E68E3" w:rsidP="006E68E3"/>
  </w:footnote>
  <w:footnote w:id="28">
    <w:p w14:paraId="2165458B" w14:textId="77777777" w:rsidR="006E68E3" w:rsidRPr="006E68E3" w:rsidRDefault="006E68E3" w:rsidP="006E68E3">
      <w:pPr>
        <w:spacing w:after="0" w:line="240" w:lineRule="auto"/>
        <w:jc w:val="both"/>
        <w:rPr>
          <w:rFonts w:ascii="Cambria" w:hAnsi="Cambria"/>
          <w:sz w:val="18"/>
          <w:szCs w:val="18"/>
        </w:rPr>
      </w:pPr>
      <w:r w:rsidRPr="006E68E3">
        <w:rPr>
          <w:rStyle w:val="FootnoteReference"/>
          <w:rFonts w:ascii="Cambria" w:hAnsi="Cambria"/>
          <w:sz w:val="18"/>
          <w:szCs w:val="18"/>
        </w:rPr>
        <w:footnoteRef/>
      </w:r>
      <w:r w:rsidRPr="006E68E3">
        <w:rPr>
          <w:rFonts w:ascii="Cambria" w:hAnsi="Cambria"/>
          <w:sz w:val="18"/>
          <w:szCs w:val="18"/>
        </w:rPr>
        <w:t xml:space="preserve">Otto Hasibuan, </w:t>
      </w:r>
      <w:r w:rsidRPr="006E68E3">
        <w:rPr>
          <w:rFonts w:ascii="Cambria" w:hAnsi="Cambria"/>
          <w:i/>
          <w:iCs/>
          <w:sz w:val="18"/>
          <w:szCs w:val="18"/>
        </w:rPr>
        <w:t xml:space="preserve">Hak Cipta di Indonesia: </w:t>
      </w:r>
      <w:proofErr w:type="spellStart"/>
      <w:r w:rsidRPr="006E68E3">
        <w:rPr>
          <w:rFonts w:ascii="Cambria" w:hAnsi="Cambria"/>
          <w:i/>
          <w:iCs/>
          <w:sz w:val="18"/>
          <w:szCs w:val="18"/>
        </w:rPr>
        <w:t>Tinjauan</w:t>
      </w:r>
      <w:proofErr w:type="spellEnd"/>
      <w:r w:rsidRPr="006E68E3">
        <w:rPr>
          <w:rFonts w:ascii="Cambria" w:hAnsi="Cambria"/>
          <w:i/>
          <w:iCs/>
          <w:sz w:val="18"/>
          <w:szCs w:val="18"/>
        </w:rPr>
        <w:t xml:space="preserve"> </w:t>
      </w:r>
      <w:proofErr w:type="spellStart"/>
      <w:r w:rsidRPr="006E68E3">
        <w:rPr>
          <w:rFonts w:ascii="Cambria" w:hAnsi="Cambria"/>
          <w:i/>
          <w:iCs/>
          <w:sz w:val="18"/>
          <w:szCs w:val="18"/>
        </w:rPr>
        <w:t>Khusus</w:t>
      </w:r>
      <w:proofErr w:type="spellEnd"/>
      <w:r w:rsidRPr="006E68E3">
        <w:rPr>
          <w:rFonts w:ascii="Cambria" w:hAnsi="Cambria"/>
          <w:i/>
          <w:iCs/>
          <w:sz w:val="18"/>
          <w:szCs w:val="18"/>
        </w:rPr>
        <w:t xml:space="preserve"> Hak Cipta Lagu, </w:t>
      </w:r>
      <w:proofErr w:type="spellStart"/>
      <w:r w:rsidRPr="006E68E3">
        <w:rPr>
          <w:rFonts w:ascii="Cambria" w:hAnsi="Cambria"/>
          <w:i/>
          <w:iCs/>
          <w:sz w:val="18"/>
          <w:szCs w:val="18"/>
        </w:rPr>
        <w:t>Neighbouring</w:t>
      </w:r>
      <w:proofErr w:type="spellEnd"/>
      <w:r w:rsidRPr="006E68E3">
        <w:rPr>
          <w:rFonts w:ascii="Cambria" w:hAnsi="Cambria"/>
          <w:i/>
          <w:iCs/>
          <w:sz w:val="18"/>
          <w:szCs w:val="18"/>
        </w:rPr>
        <w:t xml:space="preserve"> Rights, dan Collecting Society</w:t>
      </w:r>
      <w:r w:rsidRPr="006E68E3">
        <w:rPr>
          <w:rFonts w:ascii="Cambria" w:hAnsi="Cambria"/>
          <w:sz w:val="18"/>
          <w:szCs w:val="18"/>
        </w:rPr>
        <w:t xml:space="preserve"> (Bandung: Alumni, 2008), 217–20.</w:t>
      </w:r>
    </w:p>
  </w:footnote>
  <w:footnote w:id="29">
    <w:p w14:paraId="4529BCCA" w14:textId="77777777" w:rsidR="006E68E3" w:rsidRPr="006E68E3" w:rsidRDefault="006E68E3" w:rsidP="006E68E3">
      <w:pPr>
        <w:spacing w:after="0" w:line="240" w:lineRule="auto"/>
        <w:jc w:val="both"/>
        <w:rPr>
          <w:rFonts w:ascii="Cambria" w:hAnsi="Cambria"/>
          <w:sz w:val="18"/>
          <w:szCs w:val="18"/>
        </w:rPr>
      </w:pPr>
      <w:r w:rsidRPr="006E68E3">
        <w:rPr>
          <w:rStyle w:val="FootnoteReference"/>
          <w:rFonts w:ascii="Cambria" w:hAnsi="Cambria"/>
          <w:sz w:val="18"/>
          <w:szCs w:val="18"/>
        </w:rPr>
        <w:footnoteRef/>
      </w:r>
      <w:r w:rsidRPr="006E68E3">
        <w:rPr>
          <w:rFonts w:ascii="Cambria" w:hAnsi="Cambria"/>
          <w:sz w:val="18"/>
          <w:szCs w:val="18"/>
        </w:rPr>
        <w:t xml:space="preserve">Kompas.com, "Tarif Royalti Musik untuk Kafe dan </w:t>
      </w:r>
      <w:proofErr w:type="spellStart"/>
      <w:r w:rsidRPr="006E68E3">
        <w:rPr>
          <w:rFonts w:ascii="Cambria" w:hAnsi="Cambria"/>
          <w:sz w:val="18"/>
          <w:szCs w:val="18"/>
        </w:rPr>
        <w:t>Restoran</w:t>
      </w:r>
      <w:proofErr w:type="spellEnd"/>
      <w:r w:rsidRPr="006E68E3">
        <w:rPr>
          <w:rFonts w:ascii="Cambria" w:hAnsi="Cambria"/>
          <w:sz w:val="18"/>
          <w:szCs w:val="18"/>
        </w:rPr>
        <w:t xml:space="preserve">: </w:t>
      </w:r>
      <w:proofErr w:type="spellStart"/>
      <w:r w:rsidRPr="006E68E3">
        <w:rPr>
          <w:rFonts w:ascii="Cambria" w:hAnsi="Cambria"/>
          <w:sz w:val="18"/>
          <w:szCs w:val="18"/>
        </w:rPr>
        <w:t>Begini</w:t>
      </w:r>
      <w:proofErr w:type="spellEnd"/>
      <w:r w:rsidRPr="006E68E3">
        <w:rPr>
          <w:rFonts w:ascii="Cambria" w:hAnsi="Cambria"/>
          <w:sz w:val="18"/>
          <w:szCs w:val="18"/>
        </w:rPr>
        <w:t xml:space="preserve"> Cara </w:t>
      </w:r>
      <w:proofErr w:type="spellStart"/>
      <w:r w:rsidRPr="006E68E3">
        <w:rPr>
          <w:rFonts w:ascii="Cambria" w:hAnsi="Cambria"/>
          <w:sz w:val="18"/>
          <w:szCs w:val="18"/>
        </w:rPr>
        <w:t>Hitungnya</w:t>
      </w:r>
      <w:proofErr w:type="spellEnd"/>
      <w:r w:rsidRPr="006E68E3">
        <w:rPr>
          <w:rFonts w:ascii="Cambria" w:hAnsi="Cambria"/>
          <w:sz w:val="18"/>
          <w:szCs w:val="18"/>
        </w:rPr>
        <w:t>," money.kompas.com, 10 August 2025, https://money.kompas.com/read/2025/08/10/102647926/tarif-royalti-musik-untuk-kafe-dan-restoran-begini-cara-hitungnya.</w:t>
      </w:r>
    </w:p>
  </w:footnote>
  <w:footnote w:id="30">
    <w:p w14:paraId="5BFD3216" w14:textId="77777777" w:rsidR="006E68E3" w:rsidRDefault="006E68E3" w:rsidP="006E68E3">
      <w:pPr>
        <w:spacing w:line="240" w:lineRule="auto"/>
        <w:jc w:val="both"/>
        <w:rPr>
          <w:rFonts w:ascii="Cambria" w:hAnsi="Cambria" w:cs="Cambria"/>
          <w:lang w:val="en-AU" w:eastAsia="en-AU"/>
        </w:rPr>
      </w:pPr>
      <w:r w:rsidRPr="006E68E3">
        <w:rPr>
          <w:rStyle w:val="FootnoteReference"/>
          <w:rFonts w:ascii="Cambria" w:hAnsi="Cambria"/>
          <w:sz w:val="18"/>
          <w:szCs w:val="18"/>
        </w:rPr>
        <w:footnoteRef/>
      </w:r>
      <w:r w:rsidRPr="006E68E3">
        <w:rPr>
          <w:rFonts w:ascii="Cambria" w:hAnsi="Cambria"/>
          <w:sz w:val="18"/>
          <w:szCs w:val="18"/>
        </w:rPr>
        <w:t xml:space="preserve">Minister of Law and Human Rights of the Republic of Indonesia, </w:t>
      </w:r>
      <w:r w:rsidRPr="006E68E3">
        <w:rPr>
          <w:rFonts w:ascii="Cambria" w:hAnsi="Cambria"/>
          <w:i/>
          <w:iCs/>
          <w:sz w:val="18"/>
          <w:szCs w:val="18"/>
        </w:rPr>
        <w:t>Decree Number HKI.2.OT.03.01-02 of 2016 on the Ratification of Royalty Tariffs for Users Making Commercial Use of Works and/or Related Rights Products of Music and Songs</w:t>
      </w:r>
      <w:r w:rsidRPr="006E68E3">
        <w:rPr>
          <w:rFonts w:ascii="Cambria" w:hAnsi="Cambria"/>
          <w:sz w:val="18"/>
          <w:szCs w:val="18"/>
        </w:rPr>
        <w:t>, ratifying LMKN Plenary Decision Number 20160512RKBD/LMKN-Pleno/Tarif Royalti/2016, Article 1 paragraph (4).</w:t>
      </w:r>
    </w:p>
  </w:footnote>
  <w:footnote w:id="31">
    <w:p w14:paraId="1B77638A" w14:textId="77777777" w:rsidR="006E68E3" w:rsidRDefault="006E68E3" w:rsidP="006E68E3">
      <w:pPr>
        <w:spacing w:line="240" w:lineRule="auto"/>
        <w:jc w:val="both"/>
      </w:pPr>
      <w:r w:rsidRPr="006E68E3">
        <w:rPr>
          <w:rStyle w:val="FootnoteReference"/>
          <w:rFonts w:ascii="Cambria" w:hAnsi="Cambria"/>
          <w:sz w:val="18"/>
          <w:szCs w:val="18"/>
        </w:rPr>
        <w:footnoteRef/>
      </w:r>
      <w:r w:rsidRPr="006E68E3">
        <w:rPr>
          <w:rFonts w:ascii="Cambria" w:hAnsi="Cambria"/>
          <w:sz w:val="18"/>
          <w:szCs w:val="18"/>
        </w:rPr>
        <w:t>Kementerian Hukum Republik Indonesia, "</w:t>
      </w:r>
      <w:proofErr w:type="spellStart"/>
      <w:r w:rsidRPr="006E68E3">
        <w:rPr>
          <w:rFonts w:ascii="Cambria" w:hAnsi="Cambria"/>
          <w:sz w:val="18"/>
          <w:szCs w:val="18"/>
        </w:rPr>
        <w:t>Pelantikan</w:t>
      </w:r>
      <w:proofErr w:type="spellEnd"/>
      <w:r w:rsidRPr="006E68E3">
        <w:rPr>
          <w:rFonts w:ascii="Cambria" w:hAnsi="Cambria"/>
          <w:sz w:val="18"/>
          <w:szCs w:val="18"/>
        </w:rPr>
        <w:t xml:space="preserve"> LMKN: Royalti Aman, Kreator Nyaman," dgip.go.id, 8 August 2025, https://www.dgip.go.id/artikel/detail-artikel-berita/pelantikan-lmkn-royalti-aman-kreator-nyaman</w:t>
      </w:r>
      <w:r>
        <w:rPr>
          <w:sz w:val="18"/>
          <w:szCs w:val="18"/>
        </w:rPr>
        <w:t>.</w:t>
      </w:r>
    </w:p>
  </w:footnote>
  <w:footnote w:id="32">
    <w:p w14:paraId="4E326E0A" w14:textId="77777777" w:rsidR="006E68E3" w:rsidRDefault="006E68E3" w:rsidP="006E68E3"/>
    <w:p w14:paraId="7FB4455A" w14:textId="77777777" w:rsidR="006E68E3" w:rsidRDefault="006E68E3" w:rsidP="006E68E3"/>
  </w:footnote>
  <w:footnote w:id="33">
    <w:p w14:paraId="3A3870B7" w14:textId="3ADF1731" w:rsidR="006E68E3" w:rsidRDefault="006E68E3" w:rsidP="006E68E3"/>
  </w:footnote>
  <w:footnote w:id="34">
    <w:p w14:paraId="6197B68F" w14:textId="77777777" w:rsidR="006E68E3" w:rsidRDefault="006E68E3" w:rsidP="006E68E3"/>
  </w:footnote>
  <w:footnote w:id="35">
    <w:p w14:paraId="14436BDC" w14:textId="77777777" w:rsidR="006E68E3" w:rsidRPr="006E68E3" w:rsidRDefault="006E68E3" w:rsidP="006E68E3">
      <w:pPr>
        <w:spacing w:line="240" w:lineRule="auto"/>
        <w:jc w:val="both"/>
        <w:rPr>
          <w:rFonts w:ascii="Cambria" w:hAnsi="Cambria"/>
          <w:sz w:val="18"/>
          <w:szCs w:val="18"/>
        </w:rPr>
      </w:pPr>
      <w:r w:rsidRPr="006E68E3">
        <w:rPr>
          <w:rStyle w:val="FootnoteReference"/>
          <w:rFonts w:ascii="Cambria" w:hAnsi="Cambria"/>
          <w:sz w:val="18"/>
          <w:szCs w:val="18"/>
        </w:rPr>
        <w:footnoteRef/>
      </w:r>
      <w:proofErr w:type="spellStart"/>
      <w:r w:rsidRPr="006E68E3">
        <w:rPr>
          <w:rFonts w:ascii="Cambria" w:hAnsi="Cambria"/>
          <w:sz w:val="18"/>
          <w:szCs w:val="18"/>
        </w:rPr>
        <w:t>Mahkamah</w:t>
      </w:r>
      <w:proofErr w:type="spellEnd"/>
      <w:r w:rsidRPr="006E68E3">
        <w:rPr>
          <w:rFonts w:ascii="Cambria" w:hAnsi="Cambria"/>
          <w:sz w:val="18"/>
          <w:szCs w:val="18"/>
        </w:rPr>
        <w:t xml:space="preserve"> </w:t>
      </w:r>
      <w:proofErr w:type="spellStart"/>
      <w:r w:rsidRPr="006E68E3">
        <w:rPr>
          <w:rFonts w:ascii="Cambria" w:hAnsi="Cambria"/>
          <w:sz w:val="18"/>
          <w:szCs w:val="18"/>
        </w:rPr>
        <w:t>Konstitusi</w:t>
      </w:r>
      <w:proofErr w:type="spellEnd"/>
      <w:r w:rsidRPr="006E68E3">
        <w:rPr>
          <w:rFonts w:ascii="Cambria" w:hAnsi="Cambria"/>
          <w:sz w:val="18"/>
          <w:szCs w:val="18"/>
        </w:rPr>
        <w:t xml:space="preserve"> RI, "UU Hak Cipta, </w:t>
      </w:r>
      <w:proofErr w:type="spellStart"/>
      <w:r w:rsidRPr="006E68E3">
        <w:rPr>
          <w:rFonts w:ascii="Cambria" w:hAnsi="Cambria"/>
          <w:sz w:val="18"/>
          <w:szCs w:val="18"/>
        </w:rPr>
        <w:t>Tuntutan</w:t>
      </w:r>
      <w:proofErr w:type="spellEnd"/>
      <w:r w:rsidRPr="006E68E3">
        <w:rPr>
          <w:rFonts w:ascii="Cambria" w:hAnsi="Cambria"/>
          <w:sz w:val="18"/>
          <w:szCs w:val="18"/>
        </w:rPr>
        <w:t xml:space="preserve"> </w:t>
      </w:r>
      <w:proofErr w:type="spellStart"/>
      <w:r w:rsidRPr="006E68E3">
        <w:rPr>
          <w:rFonts w:ascii="Cambria" w:hAnsi="Cambria"/>
          <w:sz w:val="18"/>
          <w:szCs w:val="18"/>
        </w:rPr>
        <w:t>Pidana</w:t>
      </w:r>
      <w:proofErr w:type="spellEnd"/>
      <w:r w:rsidRPr="006E68E3">
        <w:rPr>
          <w:rFonts w:ascii="Cambria" w:hAnsi="Cambria"/>
          <w:sz w:val="18"/>
          <w:szCs w:val="18"/>
        </w:rPr>
        <w:t xml:space="preserve"> Dapat </w:t>
      </w:r>
      <w:proofErr w:type="spellStart"/>
      <w:r w:rsidRPr="006E68E3">
        <w:rPr>
          <w:rFonts w:ascii="Cambria" w:hAnsi="Cambria"/>
          <w:sz w:val="18"/>
          <w:szCs w:val="18"/>
        </w:rPr>
        <w:t>Ditempuh</w:t>
      </w:r>
      <w:proofErr w:type="spellEnd"/>
      <w:r w:rsidRPr="006E68E3">
        <w:rPr>
          <w:rFonts w:ascii="Cambria" w:hAnsi="Cambria"/>
          <w:sz w:val="18"/>
          <w:szCs w:val="18"/>
        </w:rPr>
        <w:t xml:space="preserve"> Jika Upaya </w:t>
      </w:r>
      <w:proofErr w:type="spellStart"/>
      <w:r w:rsidRPr="006E68E3">
        <w:rPr>
          <w:rFonts w:ascii="Cambria" w:hAnsi="Cambria"/>
          <w:sz w:val="18"/>
          <w:szCs w:val="18"/>
        </w:rPr>
        <w:t>Perdata</w:t>
      </w:r>
      <w:proofErr w:type="spellEnd"/>
      <w:r w:rsidRPr="006E68E3">
        <w:rPr>
          <w:rFonts w:ascii="Cambria" w:hAnsi="Cambria"/>
          <w:sz w:val="18"/>
          <w:szCs w:val="18"/>
        </w:rPr>
        <w:t xml:space="preserve"> Gagal," mkri.id, 30 June 2025, https://www.mkri.id/berita/uu-hak-cipta,-tuntutan-pidana-dapat-ditempuh-jika-upaya-perdata-gagal-23432.</w:t>
      </w:r>
    </w:p>
  </w:footnote>
  <w:footnote w:id="36">
    <w:p w14:paraId="48E31B9E" w14:textId="77777777" w:rsidR="006E68E3" w:rsidRDefault="006E68E3" w:rsidP="006E68E3"/>
  </w:footnote>
  <w:footnote w:id="37">
    <w:p w14:paraId="4BA7691E" w14:textId="77777777" w:rsidR="006E68E3" w:rsidRDefault="006E68E3" w:rsidP="006E68E3">
      <w:pPr>
        <w:spacing w:line="240" w:lineRule="auto"/>
        <w:jc w:val="both"/>
      </w:pPr>
      <w:r>
        <w:rPr>
          <w:rStyle w:val="FootnoteReference"/>
        </w:rPr>
        <w:footnoteRef/>
      </w:r>
      <w:proofErr w:type="spellStart"/>
      <w:r>
        <w:rPr>
          <w:sz w:val="18"/>
          <w:szCs w:val="18"/>
        </w:rPr>
        <w:t>Mahkamah</w:t>
      </w:r>
      <w:proofErr w:type="spellEnd"/>
      <w:r>
        <w:rPr>
          <w:sz w:val="18"/>
          <w:szCs w:val="18"/>
        </w:rPr>
        <w:t xml:space="preserve"> </w:t>
      </w:r>
      <w:proofErr w:type="spellStart"/>
      <w:r>
        <w:rPr>
          <w:sz w:val="18"/>
          <w:szCs w:val="18"/>
        </w:rPr>
        <w:t>Konstitusi</w:t>
      </w:r>
      <w:proofErr w:type="spellEnd"/>
      <w:r>
        <w:rPr>
          <w:sz w:val="18"/>
          <w:szCs w:val="18"/>
        </w:rPr>
        <w:t xml:space="preserve"> RI, "Parameter </w:t>
      </w:r>
      <w:proofErr w:type="spellStart"/>
      <w:r>
        <w:rPr>
          <w:sz w:val="18"/>
          <w:szCs w:val="18"/>
        </w:rPr>
        <w:t>Penentuan</w:t>
      </w:r>
      <w:proofErr w:type="spellEnd"/>
      <w:r>
        <w:rPr>
          <w:sz w:val="18"/>
          <w:szCs w:val="18"/>
        </w:rPr>
        <w:t xml:space="preserve"> Royalti </w:t>
      </w:r>
      <w:proofErr w:type="spellStart"/>
      <w:r>
        <w:rPr>
          <w:sz w:val="18"/>
          <w:szCs w:val="18"/>
        </w:rPr>
        <w:t>Diatur</w:t>
      </w:r>
      <w:proofErr w:type="spellEnd"/>
      <w:r>
        <w:rPr>
          <w:sz w:val="18"/>
          <w:szCs w:val="18"/>
        </w:rPr>
        <w:t xml:space="preserve"> dalam </w:t>
      </w:r>
      <w:proofErr w:type="spellStart"/>
      <w:r>
        <w:rPr>
          <w:sz w:val="18"/>
          <w:szCs w:val="18"/>
        </w:rPr>
        <w:t>Peraturan</w:t>
      </w:r>
      <w:proofErr w:type="spellEnd"/>
      <w:r>
        <w:rPr>
          <w:sz w:val="18"/>
          <w:szCs w:val="18"/>
        </w:rPr>
        <w:t xml:space="preserve"> </w:t>
      </w:r>
      <w:proofErr w:type="spellStart"/>
      <w:r>
        <w:rPr>
          <w:sz w:val="18"/>
          <w:szCs w:val="18"/>
        </w:rPr>
        <w:t>Perundang-Undangan</w:t>
      </w:r>
      <w:proofErr w:type="spellEnd"/>
      <w:r>
        <w:rPr>
          <w:sz w:val="18"/>
          <w:szCs w:val="18"/>
        </w:rPr>
        <w:t>," mkri.id, 17 December 2025, https://www.mkri.id/berita/parameter-penentuan-royalti-diatur-dalam-peraturan-perundang-undangan-24293.</w:t>
      </w:r>
    </w:p>
  </w:footnote>
  <w:footnote w:id="38">
    <w:p w14:paraId="7078933D" w14:textId="77777777" w:rsidR="006E68E3" w:rsidRPr="006E68E3" w:rsidRDefault="006E68E3" w:rsidP="006E68E3">
      <w:pPr>
        <w:spacing w:line="240" w:lineRule="auto"/>
        <w:jc w:val="both"/>
        <w:rPr>
          <w:rFonts w:ascii="Cambria" w:hAnsi="Cambria"/>
        </w:rPr>
      </w:pPr>
      <w:r w:rsidRPr="006E68E3">
        <w:rPr>
          <w:rStyle w:val="FootnoteReference"/>
          <w:rFonts w:ascii="Cambria" w:hAnsi="Cambria"/>
        </w:rPr>
        <w:footnoteRef/>
      </w:r>
      <w:r w:rsidRPr="006E68E3">
        <w:rPr>
          <w:rFonts w:ascii="Cambria" w:hAnsi="Cambria"/>
          <w:sz w:val="18"/>
          <w:szCs w:val="18"/>
        </w:rPr>
        <w:t xml:space="preserve">Constitutional Court of the Republic of Indonesia, </w:t>
      </w:r>
      <w:r w:rsidRPr="006E68E3">
        <w:rPr>
          <w:rFonts w:ascii="Cambria" w:hAnsi="Cambria"/>
          <w:i/>
          <w:iCs/>
          <w:sz w:val="18"/>
          <w:szCs w:val="18"/>
        </w:rPr>
        <w:t>Decision Number 37/PUU-XXIII/2025</w:t>
      </w:r>
      <w:r w:rsidRPr="006E68E3">
        <w:rPr>
          <w:rFonts w:ascii="Cambria" w:hAnsi="Cambria"/>
          <w:sz w:val="18"/>
          <w:szCs w:val="18"/>
        </w:rPr>
        <w:t>, pronounced 17 December 2025.</w:t>
      </w:r>
    </w:p>
  </w:footnote>
  <w:footnote w:id="39">
    <w:p w14:paraId="3B3785F7" w14:textId="77777777" w:rsidR="006E68E3" w:rsidRPr="006E68E3" w:rsidRDefault="006E68E3" w:rsidP="006E68E3">
      <w:pPr>
        <w:rPr>
          <w:rFonts w:ascii="Cambria" w:hAnsi="Cambria"/>
        </w:rPr>
      </w:pPr>
    </w:p>
  </w:footnote>
  <w:footnote w:id="40">
    <w:p w14:paraId="5C1B225B" w14:textId="77777777" w:rsidR="006E68E3" w:rsidRDefault="006E68E3" w:rsidP="006E68E3">
      <w:pPr>
        <w:spacing w:line="240" w:lineRule="auto"/>
        <w:jc w:val="both"/>
      </w:pPr>
      <w:r w:rsidRPr="006E68E3">
        <w:rPr>
          <w:rStyle w:val="FootnoteReference"/>
          <w:rFonts w:ascii="Cambria" w:hAnsi="Cambria"/>
        </w:rPr>
        <w:footnoteRef/>
      </w:r>
      <w:r w:rsidRPr="006E68E3">
        <w:rPr>
          <w:rFonts w:ascii="Cambria" w:hAnsi="Cambria"/>
          <w:sz w:val="18"/>
          <w:szCs w:val="18"/>
        </w:rPr>
        <w:t xml:space="preserve">Chrisna Bagus Edhita Praja, Budi Agus </w:t>
      </w:r>
      <w:proofErr w:type="spellStart"/>
      <w:r w:rsidRPr="006E68E3">
        <w:rPr>
          <w:rFonts w:ascii="Cambria" w:hAnsi="Cambria"/>
          <w:sz w:val="18"/>
          <w:szCs w:val="18"/>
        </w:rPr>
        <w:t>Riswandi</w:t>
      </w:r>
      <w:proofErr w:type="spellEnd"/>
      <w:r w:rsidRPr="006E68E3">
        <w:rPr>
          <w:rFonts w:ascii="Cambria" w:hAnsi="Cambria"/>
          <w:sz w:val="18"/>
          <w:szCs w:val="18"/>
        </w:rPr>
        <w:t xml:space="preserve">, and </w:t>
      </w:r>
      <w:proofErr w:type="spellStart"/>
      <w:r w:rsidRPr="006E68E3">
        <w:rPr>
          <w:rFonts w:ascii="Cambria" w:hAnsi="Cambria"/>
          <w:sz w:val="18"/>
          <w:szCs w:val="18"/>
        </w:rPr>
        <w:t>Khudzaifah</w:t>
      </w:r>
      <w:proofErr w:type="spellEnd"/>
      <w:r w:rsidRPr="006E68E3">
        <w:rPr>
          <w:rFonts w:ascii="Cambria" w:hAnsi="Cambria"/>
          <w:sz w:val="18"/>
          <w:szCs w:val="18"/>
        </w:rPr>
        <w:t xml:space="preserve"> Dimyati, "</w:t>
      </w:r>
      <w:proofErr w:type="spellStart"/>
      <w:r w:rsidRPr="006E68E3">
        <w:rPr>
          <w:rFonts w:ascii="Cambria" w:hAnsi="Cambria"/>
          <w:sz w:val="18"/>
          <w:szCs w:val="18"/>
        </w:rPr>
        <w:t>Mediasi</w:t>
      </w:r>
      <w:proofErr w:type="spellEnd"/>
      <w:r w:rsidRPr="006E68E3">
        <w:rPr>
          <w:rFonts w:ascii="Cambria" w:hAnsi="Cambria"/>
          <w:sz w:val="18"/>
          <w:szCs w:val="18"/>
        </w:rPr>
        <w:t xml:space="preserve"> </w:t>
      </w:r>
      <w:proofErr w:type="spellStart"/>
      <w:r w:rsidRPr="006E68E3">
        <w:rPr>
          <w:rFonts w:ascii="Cambria" w:hAnsi="Cambria"/>
          <w:sz w:val="18"/>
          <w:szCs w:val="18"/>
        </w:rPr>
        <w:t>sebagai</w:t>
      </w:r>
      <w:proofErr w:type="spellEnd"/>
      <w:r w:rsidRPr="006E68E3">
        <w:rPr>
          <w:rFonts w:ascii="Cambria" w:hAnsi="Cambria"/>
          <w:sz w:val="18"/>
          <w:szCs w:val="18"/>
        </w:rPr>
        <w:t xml:space="preserve"> </w:t>
      </w:r>
      <w:proofErr w:type="spellStart"/>
      <w:r w:rsidRPr="006E68E3">
        <w:rPr>
          <w:rFonts w:ascii="Cambria" w:hAnsi="Cambria"/>
          <w:sz w:val="18"/>
          <w:szCs w:val="18"/>
        </w:rPr>
        <w:t>Alternatif</w:t>
      </w:r>
      <w:proofErr w:type="spellEnd"/>
      <w:r w:rsidRPr="006E68E3">
        <w:rPr>
          <w:rFonts w:ascii="Cambria" w:hAnsi="Cambria"/>
          <w:sz w:val="18"/>
          <w:szCs w:val="18"/>
        </w:rPr>
        <w:t xml:space="preserve"> </w:t>
      </w:r>
      <w:proofErr w:type="spellStart"/>
      <w:r w:rsidRPr="006E68E3">
        <w:rPr>
          <w:rFonts w:ascii="Cambria" w:hAnsi="Cambria"/>
          <w:sz w:val="18"/>
          <w:szCs w:val="18"/>
        </w:rPr>
        <w:t>Penyelesaian</w:t>
      </w:r>
      <w:proofErr w:type="spellEnd"/>
      <w:r w:rsidRPr="006E68E3">
        <w:rPr>
          <w:rFonts w:ascii="Cambria" w:hAnsi="Cambria"/>
          <w:sz w:val="18"/>
          <w:szCs w:val="18"/>
        </w:rPr>
        <w:t xml:space="preserve"> </w:t>
      </w:r>
      <w:proofErr w:type="spellStart"/>
      <w:r w:rsidRPr="006E68E3">
        <w:rPr>
          <w:rFonts w:ascii="Cambria" w:hAnsi="Cambria"/>
          <w:sz w:val="18"/>
          <w:szCs w:val="18"/>
        </w:rPr>
        <w:t>Sengketa</w:t>
      </w:r>
      <w:proofErr w:type="spellEnd"/>
      <w:r w:rsidRPr="006E68E3">
        <w:rPr>
          <w:rFonts w:ascii="Cambria" w:hAnsi="Cambria"/>
          <w:sz w:val="18"/>
          <w:szCs w:val="18"/>
        </w:rPr>
        <w:t xml:space="preserve"> Hak Cipta Buku Elektronik </w:t>
      </w:r>
      <w:proofErr w:type="spellStart"/>
      <w:r w:rsidRPr="006E68E3">
        <w:rPr>
          <w:rFonts w:ascii="Cambria" w:hAnsi="Cambria"/>
          <w:sz w:val="18"/>
          <w:szCs w:val="18"/>
        </w:rPr>
        <w:t>Kekayaan</w:t>
      </w:r>
      <w:proofErr w:type="spellEnd"/>
      <w:r w:rsidRPr="006E68E3">
        <w:rPr>
          <w:rFonts w:ascii="Cambria" w:hAnsi="Cambria"/>
          <w:sz w:val="18"/>
          <w:szCs w:val="18"/>
        </w:rPr>
        <w:t xml:space="preserve"> </w:t>
      </w:r>
      <w:proofErr w:type="spellStart"/>
      <w:r w:rsidRPr="006E68E3">
        <w:rPr>
          <w:rFonts w:ascii="Cambria" w:hAnsi="Cambria"/>
          <w:sz w:val="18"/>
          <w:szCs w:val="18"/>
        </w:rPr>
        <w:t>Intelektual</w:t>
      </w:r>
      <w:proofErr w:type="spellEnd"/>
      <w:r w:rsidRPr="006E68E3">
        <w:rPr>
          <w:rFonts w:ascii="Cambria" w:hAnsi="Cambria"/>
          <w:sz w:val="18"/>
          <w:szCs w:val="18"/>
        </w:rPr>
        <w:t xml:space="preserve"> di Indonesia," </w:t>
      </w:r>
      <w:r w:rsidRPr="006E68E3">
        <w:rPr>
          <w:rFonts w:ascii="Cambria" w:hAnsi="Cambria"/>
          <w:i/>
          <w:iCs/>
          <w:sz w:val="18"/>
          <w:szCs w:val="18"/>
        </w:rPr>
        <w:t>Jurnal Hukum</w:t>
      </w:r>
      <w:r w:rsidRPr="006E68E3">
        <w:rPr>
          <w:rFonts w:ascii="Cambria" w:hAnsi="Cambria"/>
          <w:sz w:val="18"/>
          <w:szCs w:val="18"/>
        </w:rPr>
        <w:t xml:space="preserve"> 6, no. 1 (2023): 141–57.</w:t>
      </w:r>
    </w:p>
  </w:footnote>
  <w:footnote w:id="41">
    <w:p w14:paraId="1801DDCB" w14:textId="77777777" w:rsidR="006E68E3" w:rsidRPr="006E68E3" w:rsidRDefault="006E68E3" w:rsidP="006E68E3">
      <w:pPr>
        <w:spacing w:after="0" w:line="240" w:lineRule="auto"/>
        <w:jc w:val="both"/>
        <w:rPr>
          <w:rFonts w:ascii="Cambria" w:hAnsi="Cambria" w:cstheme="majorHAnsi"/>
          <w:sz w:val="18"/>
          <w:szCs w:val="18"/>
        </w:rPr>
      </w:pPr>
      <w:r w:rsidRPr="006E68E3">
        <w:rPr>
          <w:rStyle w:val="FootnoteReference"/>
          <w:rFonts w:ascii="Cambria" w:hAnsi="Cambria" w:cstheme="majorHAnsi"/>
          <w:sz w:val="18"/>
          <w:szCs w:val="18"/>
        </w:rPr>
        <w:footnoteRef/>
      </w:r>
      <w:r w:rsidRPr="006E68E3">
        <w:rPr>
          <w:rFonts w:ascii="Cambria" w:hAnsi="Cambria" w:cstheme="majorHAnsi"/>
          <w:sz w:val="18"/>
          <w:szCs w:val="18"/>
        </w:rPr>
        <w:t>Kementerian Hukum RI, "</w:t>
      </w:r>
      <w:proofErr w:type="spellStart"/>
      <w:r w:rsidRPr="006E68E3">
        <w:rPr>
          <w:rFonts w:ascii="Cambria" w:hAnsi="Cambria" w:cstheme="majorHAnsi"/>
          <w:sz w:val="18"/>
          <w:szCs w:val="18"/>
        </w:rPr>
        <w:t>Pemerintah</w:t>
      </w:r>
      <w:proofErr w:type="spellEnd"/>
      <w:r w:rsidRPr="006E68E3">
        <w:rPr>
          <w:rFonts w:ascii="Cambria" w:hAnsi="Cambria" w:cstheme="majorHAnsi"/>
          <w:sz w:val="18"/>
          <w:szCs w:val="18"/>
        </w:rPr>
        <w:t xml:space="preserve"> </w:t>
      </w:r>
      <w:proofErr w:type="spellStart"/>
      <w:r w:rsidRPr="006E68E3">
        <w:rPr>
          <w:rFonts w:ascii="Cambria" w:hAnsi="Cambria" w:cstheme="majorHAnsi"/>
          <w:sz w:val="18"/>
          <w:szCs w:val="18"/>
        </w:rPr>
        <w:t>Terbitkan</w:t>
      </w:r>
      <w:proofErr w:type="spellEnd"/>
      <w:r w:rsidRPr="006E68E3">
        <w:rPr>
          <w:rFonts w:ascii="Cambria" w:hAnsi="Cambria" w:cstheme="majorHAnsi"/>
          <w:sz w:val="18"/>
          <w:szCs w:val="18"/>
        </w:rPr>
        <w:t xml:space="preserve"> Surat </w:t>
      </w:r>
      <w:proofErr w:type="spellStart"/>
      <w:r w:rsidRPr="006E68E3">
        <w:rPr>
          <w:rFonts w:ascii="Cambria" w:hAnsi="Cambria" w:cstheme="majorHAnsi"/>
          <w:sz w:val="18"/>
          <w:szCs w:val="18"/>
        </w:rPr>
        <w:t>Edaran</w:t>
      </w:r>
      <w:proofErr w:type="spellEnd"/>
      <w:r w:rsidRPr="006E68E3">
        <w:rPr>
          <w:rFonts w:ascii="Cambria" w:hAnsi="Cambria" w:cstheme="majorHAnsi"/>
          <w:sz w:val="18"/>
          <w:szCs w:val="18"/>
        </w:rPr>
        <w:t xml:space="preserve"> </w:t>
      </w:r>
      <w:proofErr w:type="spellStart"/>
      <w:r w:rsidRPr="006E68E3">
        <w:rPr>
          <w:rFonts w:ascii="Cambria" w:hAnsi="Cambria" w:cstheme="majorHAnsi"/>
          <w:sz w:val="18"/>
          <w:szCs w:val="18"/>
        </w:rPr>
        <w:t>Kewajiban</w:t>
      </w:r>
      <w:proofErr w:type="spellEnd"/>
      <w:r w:rsidRPr="006E68E3">
        <w:rPr>
          <w:rFonts w:ascii="Cambria" w:hAnsi="Cambria" w:cstheme="majorHAnsi"/>
          <w:sz w:val="18"/>
          <w:szCs w:val="18"/>
        </w:rPr>
        <w:t xml:space="preserve"> </w:t>
      </w:r>
      <w:proofErr w:type="spellStart"/>
      <w:r w:rsidRPr="006E68E3">
        <w:rPr>
          <w:rFonts w:ascii="Cambria" w:hAnsi="Cambria" w:cstheme="majorHAnsi"/>
          <w:sz w:val="18"/>
          <w:szCs w:val="18"/>
        </w:rPr>
        <w:t>Pembayaran</w:t>
      </w:r>
      <w:proofErr w:type="spellEnd"/>
      <w:r w:rsidRPr="006E68E3">
        <w:rPr>
          <w:rFonts w:ascii="Cambria" w:hAnsi="Cambria" w:cstheme="majorHAnsi"/>
          <w:sz w:val="18"/>
          <w:szCs w:val="18"/>
        </w:rPr>
        <w:t xml:space="preserve"> Royalti Lagu dan/Musik di Ruang Publik </w:t>
      </w:r>
      <w:proofErr w:type="spellStart"/>
      <w:r w:rsidRPr="006E68E3">
        <w:rPr>
          <w:rFonts w:ascii="Cambria" w:hAnsi="Cambria" w:cstheme="majorHAnsi"/>
          <w:sz w:val="18"/>
          <w:szCs w:val="18"/>
        </w:rPr>
        <w:t>Komersial</w:t>
      </w:r>
      <w:proofErr w:type="spellEnd"/>
      <w:r w:rsidRPr="006E68E3">
        <w:rPr>
          <w:rFonts w:ascii="Cambria" w:hAnsi="Cambria" w:cstheme="majorHAnsi"/>
          <w:sz w:val="18"/>
          <w:szCs w:val="18"/>
        </w:rPr>
        <w:t>," djpp.kemenkum.go.id, 30 December 2025.</w:t>
      </w:r>
    </w:p>
  </w:footnote>
  <w:footnote w:id="42">
    <w:p w14:paraId="1AA67B55" w14:textId="77777777" w:rsidR="006E68E3" w:rsidRDefault="006E68E3" w:rsidP="006E68E3">
      <w:pPr>
        <w:spacing w:after="0" w:line="240" w:lineRule="auto"/>
        <w:jc w:val="both"/>
      </w:pPr>
      <w:r w:rsidRPr="006E68E3">
        <w:rPr>
          <w:rStyle w:val="FootnoteReference"/>
          <w:rFonts w:ascii="Cambria" w:hAnsi="Cambria" w:cstheme="majorHAnsi"/>
          <w:sz w:val="18"/>
          <w:szCs w:val="18"/>
        </w:rPr>
        <w:footnoteRef/>
      </w:r>
      <w:r w:rsidRPr="006E68E3">
        <w:rPr>
          <w:rFonts w:ascii="Cambria" w:hAnsi="Cambria" w:cstheme="majorHAnsi"/>
          <w:sz w:val="18"/>
          <w:szCs w:val="18"/>
        </w:rPr>
        <w:t xml:space="preserve">Director General of Intellectual Property, </w:t>
      </w:r>
      <w:r w:rsidRPr="006E68E3">
        <w:rPr>
          <w:rFonts w:ascii="Cambria" w:hAnsi="Cambria" w:cstheme="majorHAnsi"/>
          <w:i/>
          <w:iCs/>
          <w:sz w:val="18"/>
          <w:szCs w:val="18"/>
        </w:rPr>
        <w:t>Circular Letter Number HKI-92.KI.01.04 of 2025 on the Obligation to Pay Song and/or Music Royalties in Commercial Public Spaces</w:t>
      </w:r>
      <w:r w:rsidRPr="006E68E3">
        <w:rPr>
          <w:rFonts w:ascii="Cambria" w:hAnsi="Cambria" w:cstheme="majorHAnsi"/>
          <w:sz w:val="18"/>
          <w:szCs w:val="18"/>
        </w:rPr>
        <w:t xml:space="preserve"> (Jakarta: Ministry of Law, 29 December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71EA" w14:textId="77777777" w:rsidR="00A90240" w:rsidRDefault="00000000">
    <w:pPr>
      <w:tabs>
        <w:tab w:val="center" w:pos="4680"/>
        <w:tab w:val="right" w:pos="9360"/>
      </w:tabs>
      <w:spacing w:after="0" w:line="240" w:lineRule="auto"/>
      <w:rPr>
        <w:rFonts w:ascii="EB Garamond" w:eastAsia="EB Garamond" w:hAnsi="EB Garamond" w:cs="EB Garamond"/>
        <w:color w:val="000000"/>
        <w:sz w:val="20"/>
        <w:szCs w:val="20"/>
      </w:rPr>
    </w:pPr>
    <w:r>
      <w:rPr>
        <w:rFonts w:ascii="EB Garamond" w:eastAsia="EB Garamond" w:hAnsi="EB Garamond" w:cs="EB Garamond"/>
        <w:noProof/>
        <w:color w:val="000000"/>
        <w:sz w:val="20"/>
        <w:szCs w:val="20"/>
      </w:rPr>
      <mc:AlternateContent>
        <mc:Choice Requires="wps">
          <w:drawing>
            <wp:anchor distT="0" distB="0" distL="114300" distR="114300" simplePos="0" relativeHeight="251662336" behindDoc="0" locked="0" layoutInCell="0" allowOverlap="1" wp14:anchorId="5F7284D3" wp14:editId="475E8B96">
              <wp:simplePos x="0" y="0"/>
              <wp:positionH relativeFrom="margin">
                <wp:align>left</wp:align>
              </wp:positionH>
              <wp:positionV relativeFrom="topMargin">
                <wp:align>center</wp:align>
              </wp:positionV>
              <wp:extent cx="5943600" cy="170815"/>
              <wp:effectExtent l="0" t="0" r="0" b="1905"/>
              <wp:wrapNone/>
              <wp:docPr id="218"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Cambria" w:hAnsi="Cambria"/>
                              <w:color w:val="215B57"/>
                              <w:sz w:val="20"/>
                              <w:szCs w:val="20"/>
                            </w:rPr>
                            <w:alias w:val="Judul"/>
                            <w:id w:val="78679243"/>
                            <w:dataBinding w:prefixMappings="xmlns:ns0='http://schemas.openxmlformats.org/package/2006/metadata/core-properties' xmlns:ns1='http://purl.org/dc/elements/1.1/'" w:xpath="/ns0:coreProperties[1]/ns1:title[1]" w:storeItemID="{6C3C8BC8-F283-45AE-878A-BAB7291924A1}"/>
                            <w:text/>
                          </w:sdtPr>
                          <w:sdtContent>
                            <w:p w14:paraId="47A33751" w14:textId="1859B21F" w:rsidR="00A90240" w:rsidRDefault="00C626FA">
                              <w:pPr>
                                <w:spacing w:after="0" w:line="240" w:lineRule="auto"/>
                                <w:rPr>
                                  <w:rFonts w:ascii="Cambria" w:hAnsi="Cambria"/>
                                  <w:b/>
                                  <w:bCs/>
                                  <w:color w:val="215B57"/>
                                  <w:sz w:val="20"/>
                                  <w:szCs w:val="20"/>
                                </w:rPr>
                              </w:pPr>
                              <w:r w:rsidRPr="005E277B">
                                <w:rPr>
                                  <w:rFonts w:ascii="Cambria" w:hAnsi="Cambria"/>
                                  <w:color w:val="215B57"/>
                                  <w:sz w:val="20"/>
                                  <w:szCs w:val="20"/>
                                </w:rPr>
                                <w:t>Strengthening Legal Protection Against Trademark Counterfeiting on Online Marketplace Platforms in Indonesia Through Regulatory Accountability</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F7284D3" id="_x0000_t202" coordsize="21600,21600" o:spt="202" path="m,l,21600r21600,l21600,xe">
              <v:stroke joinstyle="miter"/>
              <v:path gradientshapeok="t" o:connecttype="rect"/>
            </v:shapetype>
            <v:shape id="Kotak Teks 222" o:spid="_x0000_s1028" type="#_x0000_t202" style="position:absolute;margin-left:0;margin-top:0;width:468pt;height:13.45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Cambria" w:hAnsi="Cambria"/>
                        <w:color w:val="215B57"/>
                        <w:sz w:val="20"/>
                        <w:szCs w:val="20"/>
                      </w:rPr>
                      <w:alias w:val="Judul"/>
                      <w:id w:val="78679243"/>
                      <w:dataBinding w:prefixMappings="xmlns:ns0='http://schemas.openxmlformats.org/package/2006/metadata/core-properties' xmlns:ns1='http://purl.org/dc/elements/1.1/'" w:xpath="/ns0:coreProperties[1]/ns1:title[1]" w:storeItemID="{6C3C8BC8-F283-45AE-878A-BAB7291924A1}"/>
                      <w:text/>
                    </w:sdtPr>
                    <w:sdtContent>
                      <w:p w14:paraId="47A33751" w14:textId="1859B21F" w:rsidR="00A90240" w:rsidRDefault="00C626FA">
                        <w:pPr>
                          <w:spacing w:after="0" w:line="240" w:lineRule="auto"/>
                          <w:rPr>
                            <w:rFonts w:ascii="Cambria" w:hAnsi="Cambria"/>
                            <w:b/>
                            <w:bCs/>
                            <w:color w:val="215B57"/>
                            <w:sz w:val="20"/>
                            <w:szCs w:val="20"/>
                          </w:rPr>
                        </w:pPr>
                        <w:r w:rsidRPr="005E277B">
                          <w:rPr>
                            <w:rFonts w:ascii="Cambria" w:hAnsi="Cambria"/>
                            <w:color w:val="215B57"/>
                            <w:sz w:val="20"/>
                            <w:szCs w:val="20"/>
                          </w:rPr>
                          <w:t>Strengthening Legal Protection Against Trademark Counterfeiting on Online Marketplace Platforms in Indonesia Through Regulatory Accountability</w:t>
                        </w:r>
                      </w:p>
                    </w:sdtContent>
                  </w:sdt>
                </w:txbxContent>
              </v:textbox>
              <w10:wrap anchorx="margin" anchory="margin"/>
            </v:shape>
          </w:pict>
        </mc:Fallback>
      </mc:AlternateContent>
    </w:r>
    <w:r>
      <w:rPr>
        <w:rFonts w:ascii="EB Garamond" w:eastAsia="EB Garamond" w:hAnsi="EB Garamond" w:cs="EB Garamond"/>
        <w:noProof/>
        <w:color w:val="000000"/>
        <w:sz w:val="20"/>
        <w:szCs w:val="20"/>
      </w:rPr>
      <mc:AlternateContent>
        <mc:Choice Requires="wps">
          <w:drawing>
            <wp:anchor distT="0" distB="0" distL="114300" distR="114300" simplePos="0" relativeHeight="251661312" behindDoc="0" locked="0" layoutInCell="0" allowOverlap="1" wp14:anchorId="111DD9C7" wp14:editId="41386A6E">
              <wp:simplePos x="0" y="0"/>
              <wp:positionH relativeFrom="page">
                <wp:align>left</wp:align>
              </wp:positionH>
              <wp:positionV relativeFrom="topMargin">
                <wp:align>center</wp:align>
              </wp:positionV>
              <wp:extent cx="914400" cy="170815"/>
              <wp:effectExtent l="0" t="0" r="5715" b="635"/>
              <wp:wrapNone/>
              <wp:docPr id="219"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215B57"/>
                      </a:solidFill>
                      <a:ln>
                        <a:noFill/>
                      </a:ln>
                    </wps:spPr>
                    <wps:txbx>
                      <w:txbxContent>
                        <w:p w14:paraId="72A4E16A" w14:textId="77777777" w:rsidR="00A90240" w:rsidRDefault="00000000">
                          <w:pPr>
                            <w:spacing w:after="0" w:line="240" w:lineRule="auto"/>
                            <w:jc w:val="right"/>
                            <w:rPr>
                              <w:rFonts w:ascii="Cambria" w:hAnsi="Cambria"/>
                              <w:color w:val="FFFFFF" w:themeColor="background1"/>
                              <w:sz w:val="24"/>
                              <w:szCs w:val="24"/>
                            </w:rPr>
                          </w:pPr>
                          <w:r>
                            <w:rPr>
                              <w:rFonts w:ascii="Cambria" w:hAnsi="Cambria"/>
                              <w:sz w:val="24"/>
                              <w:szCs w:val="24"/>
                            </w:rPr>
                            <w:fldChar w:fldCharType="begin"/>
                          </w:r>
                          <w:r>
                            <w:rPr>
                              <w:rFonts w:ascii="Cambria" w:hAnsi="Cambria"/>
                              <w:sz w:val="24"/>
                              <w:szCs w:val="24"/>
                            </w:rPr>
                            <w:instrText>PAGE   \* MERGEFORMAT</w:instrText>
                          </w:r>
                          <w:r>
                            <w:rPr>
                              <w:rFonts w:ascii="Cambria" w:hAnsi="Cambria"/>
                              <w:sz w:val="24"/>
                              <w:szCs w:val="24"/>
                            </w:rPr>
                            <w:fldChar w:fldCharType="separate"/>
                          </w:r>
                          <w:r>
                            <w:rPr>
                              <w:rFonts w:ascii="Cambria" w:hAnsi="Cambria"/>
                              <w:color w:val="FFFFFF" w:themeColor="background1"/>
                              <w:sz w:val="24"/>
                              <w:szCs w:val="24"/>
                              <w:lang w:val="id-ID"/>
                            </w:rPr>
                            <w:t>2</w:t>
                          </w:r>
                          <w:r>
                            <w:rPr>
                              <w:rFonts w:ascii="Cambria" w:hAnsi="Cambria"/>
                              <w:color w:val="FFFFFF" w:themeColor="background1"/>
                              <w:sz w:val="24"/>
                              <w:szCs w:val="24"/>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1DD9C7" id="Kotak Teks 224" o:spid="_x0000_s1029" type="#_x0000_t202" style="position:absolute;margin-left:0;margin-top:0;width:1in;height:13.45pt;z-index:25166131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" o:allowincell="f" fillcolor="#215b57" stroked="f">
              <v:textbox style="mso-fit-shape-to-text:t" inset=",0,,0">
                <w:txbxContent>
                  <w:p w14:paraId="72A4E16A" w14:textId="77777777" w:rsidR="00A90240" w:rsidRDefault="00000000">
                    <w:pPr>
                      <w:spacing w:after="0" w:line="240" w:lineRule="auto"/>
                      <w:jc w:val="right"/>
                      <w:rPr>
                        <w:rFonts w:ascii="Cambria" w:hAnsi="Cambria"/>
                        <w:color w:val="FFFFFF" w:themeColor="background1"/>
                        <w:sz w:val="24"/>
                        <w:szCs w:val="24"/>
                      </w:rPr>
                    </w:pPr>
                    <w:r>
                      <w:rPr>
                        <w:rFonts w:ascii="Cambria" w:hAnsi="Cambria"/>
                        <w:sz w:val="24"/>
                        <w:szCs w:val="24"/>
                      </w:rPr>
                      <w:fldChar w:fldCharType="begin"/>
                    </w:r>
                    <w:r>
                      <w:rPr>
                        <w:rFonts w:ascii="Cambria" w:hAnsi="Cambria"/>
                        <w:sz w:val="24"/>
                        <w:szCs w:val="24"/>
                      </w:rPr>
                      <w:instrText>PAGE   \* MERGEFORMAT</w:instrText>
                    </w:r>
                    <w:r>
                      <w:rPr>
                        <w:rFonts w:ascii="Cambria" w:hAnsi="Cambria"/>
                        <w:sz w:val="24"/>
                        <w:szCs w:val="24"/>
                      </w:rPr>
                      <w:fldChar w:fldCharType="separate"/>
                    </w:r>
                    <w:r>
                      <w:rPr>
                        <w:rFonts w:ascii="Cambria" w:hAnsi="Cambria"/>
                        <w:color w:val="FFFFFF" w:themeColor="background1"/>
                        <w:sz w:val="24"/>
                        <w:szCs w:val="24"/>
                        <w:lang w:val="id-ID"/>
                      </w:rPr>
                      <w:t>2</w:t>
                    </w:r>
                    <w:r>
                      <w:rPr>
                        <w:rFonts w:ascii="Cambria" w:hAnsi="Cambria"/>
                        <w:color w:val="FFFFFF" w:themeColor="background1"/>
                        <w:sz w:val="24"/>
                        <w:szCs w:val="24"/>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A4D6" w14:textId="3D0A5B60" w:rsidR="00A90240" w:rsidRDefault="00000000">
    <w:pPr>
      <w:tabs>
        <w:tab w:val="center" w:pos="4680"/>
        <w:tab w:val="right" w:pos="9360"/>
      </w:tabs>
      <w:spacing w:after="0" w:line="240" w:lineRule="auto"/>
      <w:jc w:val="right"/>
      <w:rPr>
        <w:rFonts w:ascii="Cambria" w:eastAsia="EB Garamond" w:hAnsi="Cambria" w:cs="EB Garamond"/>
        <w:iCs/>
        <w:color w:val="215B57"/>
        <w:sz w:val="20"/>
        <w:szCs w:val="20"/>
      </w:rPr>
    </w:pPr>
    <w:r>
      <w:rPr>
        <w:rFonts w:ascii="Cambria" w:eastAsia="EB Garamond" w:hAnsi="Cambria" w:cs="EB Garamond"/>
        <w:b/>
        <w:iCs/>
        <w:color w:val="215B57"/>
        <w:sz w:val="20"/>
        <w:szCs w:val="20"/>
      </w:rPr>
      <w:t xml:space="preserve">Causality: Journal National Public Issue, Vol. </w:t>
    </w:r>
    <w:r w:rsidR="00C626FA">
      <w:rPr>
        <w:rFonts w:ascii="Cambria" w:eastAsia="EB Garamond" w:hAnsi="Cambria" w:cs="EB Garamond"/>
        <w:b/>
        <w:iCs/>
        <w:color w:val="215B57"/>
        <w:sz w:val="20"/>
        <w:szCs w:val="20"/>
      </w:rPr>
      <w:t>3</w:t>
    </w:r>
    <w:r>
      <w:rPr>
        <w:rFonts w:ascii="Cambria" w:eastAsia="EB Garamond" w:hAnsi="Cambria" w:cs="EB Garamond"/>
        <w:b/>
        <w:iCs/>
        <w:color w:val="215B57"/>
        <w:sz w:val="20"/>
        <w:szCs w:val="20"/>
      </w:rPr>
      <w:t xml:space="preserve"> No. 1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8FEDE" w14:textId="77777777" w:rsidR="00A90240" w:rsidRDefault="00000000">
    <w:pPr>
      <w:tabs>
        <w:tab w:val="center" w:pos="4680"/>
        <w:tab w:val="right" w:pos="9360"/>
      </w:tabs>
      <w:spacing w:after="0" w:line="240" w:lineRule="auto"/>
      <w:jc w:val="center"/>
      <w:rPr>
        <w:rFonts w:ascii="Cambria" w:eastAsia="Libre Baskerville" w:hAnsi="Cambria" w:cs="Libre Baskerville"/>
        <w:b/>
        <w:bCs/>
        <w:i/>
        <w:iCs/>
        <w:color w:val="B00000"/>
        <w:sz w:val="70"/>
        <w:szCs w:val="70"/>
      </w:rPr>
    </w:pPr>
    <w:r>
      <w:rPr>
        <w:rFonts w:ascii="Bodoni Bd BT" w:hAnsi="Bodoni Bd BT"/>
        <w:b/>
        <w:bCs/>
        <w:i/>
        <w:iCs/>
        <w:noProof/>
        <w:color w:val="000000" w:themeColor="text1"/>
        <w:sz w:val="70"/>
        <w:szCs w:val="70"/>
      </w:rPr>
      <mc:AlternateContent>
        <mc:Choice Requires="wps">
          <w:drawing>
            <wp:anchor distT="0" distB="0" distL="114300" distR="114300" simplePos="0" relativeHeight="251659264" behindDoc="0" locked="0" layoutInCell="1" allowOverlap="1" wp14:anchorId="2C57CE36" wp14:editId="3F8EB5B3">
              <wp:simplePos x="0" y="0"/>
              <wp:positionH relativeFrom="column">
                <wp:posOffset>2091690</wp:posOffset>
              </wp:positionH>
              <wp:positionV relativeFrom="paragraph">
                <wp:posOffset>-368300</wp:posOffset>
              </wp:positionV>
              <wp:extent cx="3995420" cy="469900"/>
              <wp:effectExtent l="0" t="0" r="0" b="6350"/>
              <wp:wrapNone/>
              <wp:docPr id="1678236134" name="Persegi Panjang 1678236134"/>
              <wp:cNvGraphicFramePr/>
              <a:graphic xmlns:a="http://schemas.openxmlformats.org/drawingml/2006/main">
                <a:graphicData uri="http://schemas.microsoft.com/office/word/2010/wordprocessingShape">
                  <wps:wsp>
                    <wps:cNvSpPr/>
                    <wps:spPr>
                      <a:xfrm>
                        <a:off x="0" y="0"/>
                        <a:ext cx="3995641" cy="469900"/>
                      </a:xfrm>
                      <a:prstGeom prst="rect">
                        <a:avLst/>
                      </a:prstGeom>
                      <a:noFill/>
                      <a:ln>
                        <a:noFill/>
                      </a:ln>
                    </wps:spPr>
                    <wps:txbx>
                      <w:txbxContent>
                        <w:p w14:paraId="1D9D0824" w14:textId="77777777" w:rsidR="00A90240" w:rsidRDefault="00A90240">
                          <w:pPr>
                            <w:spacing w:after="0" w:line="240" w:lineRule="auto"/>
                            <w:jc w:val="right"/>
                            <w:rPr>
                              <w:rFonts w:ascii="Cambria" w:eastAsia="EB Garamond" w:hAnsi="Cambria" w:cs="EB Garamond"/>
                              <w:color w:val="215B57"/>
                              <w:sz w:val="14"/>
                            </w:rPr>
                          </w:pPr>
                        </w:p>
                      </w:txbxContent>
                    </wps:txbx>
                    <wps:bodyPr spcFirstLastPara="1" wrap="square" lIns="91425" tIns="45700" rIns="91425" bIns="45700" anchor="ctr" anchorCtr="0">
                      <a:noAutofit/>
                    </wps:bodyPr>
                  </wps:wsp>
                </a:graphicData>
              </a:graphic>
            </wp:anchor>
          </w:drawing>
        </mc:Choice>
        <mc:Fallback>
          <w:pict>
            <v:rect w14:anchorId="2C57CE36" id="Persegi Panjang 1678236134" o:spid="_x0000_s1030" style="position:absolute;left:0;text-align:left;margin-left:164.7pt;margin-top:-29pt;width:314.6pt;height: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" filled="f" stroked="f">
              <v:textbox inset="2.53958mm,1.2694mm,2.53958mm,1.2694mm">
                <w:txbxContent>
                  <w:p w14:paraId="1D9D0824" w14:textId="77777777" w:rsidR="00A90240" w:rsidRDefault="00A90240">
                    <w:pPr>
                      <w:spacing w:after="0" w:line="240" w:lineRule="auto"/>
                      <w:jc w:val="right"/>
                      <w:rPr>
                        <w:rFonts w:ascii="Cambria" w:eastAsia="EB Garamond" w:hAnsi="Cambria" w:cs="EB Garamond"/>
                        <w:color w:val="215B57"/>
                        <w:sz w:val="14"/>
                      </w:rPr>
                    </w:pPr>
                  </w:p>
                </w:txbxContent>
              </v:textbox>
            </v:rect>
          </w:pict>
        </mc:Fallback>
      </mc:AlternateContent>
    </w:r>
    <w:bookmarkStart w:id="0" w:name="_heading=h.o98nmeuzjxdh" w:colFirst="0" w:colLast="0"/>
    <w:bookmarkEnd w:id="0"/>
    <w:r>
      <w:rPr>
        <w:rFonts w:ascii="Bodoni Bd BT" w:hAnsi="Bodoni Bd BT"/>
        <w:b/>
        <w:bCs/>
        <w:i/>
        <w:iCs/>
        <w:color w:val="000000" w:themeColor="text1"/>
        <w:sz w:val="70"/>
        <w:szCs w:val="70"/>
      </w:rPr>
      <w:t>Causality</w:t>
    </w:r>
    <w:r>
      <w:rPr>
        <w:rFonts w:ascii="Cambria" w:eastAsia="Libre Baskerville" w:hAnsi="Cambria" w:cs="Libre Baskerville"/>
        <w:b/>
        <w:bCs/>
        <w:i/>
        <w:iCs/>
        <w:color w:val="215B57"/>
        <w:sz w:val="70"/>
        <w:szCs w:val="70"/>
      </w:rPr>
      <w:t xml:space="preserve"> </w:t>
    </w:r>
    <w:r>
      <w:rPr>
        <w:rFonts w:ascii="High Tower Text" w:eastAsia="Libre Baskerville" w:hAnsi="High Tower Text" w:cs="Libre Baskerville"/>
        <w:b/>
        <w:bCs/>
        <w:i/>
        <w:iCs/>
        <w:color w:val="215B57"/>
        <w:sz w:val="70"/>
        <w:szCs w:val="70"/>
      </w:rPr>
      <w:t>Journal</w:t>
    </w:r>
  </w:p>
  <w:p w14:paraId="76A673EB" w14:textId="77777777" w:rsidR="00A90240" w:rsidRDefault="00000000">
    <w:pPr>
      <w:tabs>
        <w:tab w:val="center" w:pos="4680"/>
        <w:tab w:val="right" w:pos="9360"/>
      </w:tabs>
      <w:spacing w:after="0" w:line="240" w:lineRule="auto"/>
      <w:jc w:val="center"/>
      <w:rPr>
        <w:rFonts w:ascii="Cambria" w:eastAsia="Libre Baskerville" w:hAnsi="Cambria" w:cs="Libre Baskerville"/>
        <w:color w:val="215B57"/>
        <w:sz w:val="20"/>
        <w:szCs w:val="20"/>
      </w:rPr>
    </w:pPr>
    <w:r>
      <w:rPr>
        <w:rFonts w:ascii="Cambria" w:eastAsia="Libre Baskerville" w:hAnsi="Cambria" w:cs="Libre Baskerville"/>
        <w:color w:val="215B57"/>
        <w:sz w:val="20"/>
        <w:szCs w:val="20"/>
      </w:rPr>
      <w:t>Journal National Public Issue</w:t>
    </w:r>
  </w:p>
  <w:p w14:paraId="6ABA0670" w14:textId="3FBDB4B5" w:rsidR="00A90240" w:rsidRDefault="00000000">
    <w:pPr>
      <w:tabs>
        <w:tab w:val="center" w:pos="4680"/>
        <w:tab w:val="right" w:pos="9360"/>
      </w:tabs>
      <w:spacing w:after="0" w:line="240" w:lineRule="auto"/>
      <w:jc w:val="center"/>
      <w:rPr>
        <w:rFonts w:ascii="Cambria" w:eastAsia="Libre Baskerville" w:hAnsi="Cambria" w:cs="Libre Baskerville"/>
        <w:color w:val="215B57"/>
        <w:sz w:val="20"/>
        <w:szCs w:val="20"/>
      </w:rPr>
    </w:pPr>
    <w:r>
      <w:rPr>
        <w:rFonts w:ascii="Cambria" w:eastAsia="Libre Baskerville" w:hAnsi="Cambria" w:cs="Libre Baskerville"/>
        <w:color w:val="215B57"/>
        <w:sz w:val="20"/>
        <w:szCs w:val="20"/>
      </w:rPr>
      <w:t>Volum</w:t>
    </w:r>
    <w:r w:rsidR="005E277B">
      <w:rPr>
        <w:rFonts w:ascii="Cambria" w:eastAsia="Libre Baskerville" w:hAnsi="Cambria" w:cs="Libre Baskerville"/>
        <w:color w:val="215B57"/>
        <w:sz w:val="20"/>
        <w:szCs w:val="20"/>
      </w:rPr>
      <w:t xml:space="preserve">e 3, </w:t>
    </w:r>
    <w:r>
      <w:rPr>
        <w:rFonts w:ascii="Cambria" w:eastAsia="Libre Baskerville" w:hAnsi="Cambria" w:cs="Libre Baskerville"/>
        <w:color w:val="215B57"/>
        <w:sz w:val="20"/>
        <w:szCs w:val="20"/>
      </w:rPr>
      <w:t xml:space="preserve">Issue </w:t>
    </w:r>
    <w:r w:rsidR="00EE4018">
      <w:rPr>
        <w:rFonts w:ascii="Cambria" w:eastAsia="Libre Baskerville" w:hAnsi="Cambria" w:cs="Libre Baskerville"/>
        <w:color w:val="215B57"/>
        <w:sz w:val="20"/>
        <w:szCs w:val="20"/>
      </w:rPr>
      <w:t>1</w:t>
    </w:r>
    <w:r>
      <w:rPr>
        <w:rFonts w:ascii="Cambria" w:eastAsia="Libre Baskerville" w:hAnsi="Cambria" w:cs="Libre Baskerville"/>
        <w:color w:val="215B57"/>
        <w:sz w:val="20"/>
        <w:szCs w:val="20"/>
      </w:rPr>
      <w:t xml:space="preserve"> </w:t>
    </w:r>
    <w:r w:rsidR="005E277B">
      <w:rPr>
        <w:rFonts w:ascii="Cambria" w:eastAsia="Libre Baskerville" w:hAnsi="Cambria" w:cs="Libre Baskerville"/>
        <w:color w:val="215B57"/>
        <w:sz w:val="20"/>
        <w:szCs w:val="20"/>
      </w:rPr>
      <w:t>(2026)</w:t>
    </w:r>
  </w:p>
  <w:p w14:paraId="7D95F17E" w14:textId="77777777" w:rsidR="00A90240" w:rsidRDefault="00000000">
    <w:pPr>
      <w:tabs>
        <w:tab w:val="center" w:pos="4680"/>
        <w:tab w:val="right" w:pos="9360"/>
      </w:tabs>
      <w:spacing w:after="0" w:line="240" w:lineRule="auto"/>
      <w:jc w:val="center"/>
      <w:rPr>
        <w:rFonts w:ascii="Cambria" w:eastAsia="Libre Baskerville" w:hAnsi="Cambria" w:cs="Libre Baskerville"/>
        <w:color w:val="215B57"/>
        <w:sz w:val="20"/>
        <w:szCs w:val="20"/>
      </w:rPr>
    </w:pPr>
    <w:r>
      <w:rPr>
        <w:noProof/>
        <w:color w:val="000000" w:themeColor="text1"/>
        <w:sz w:val="18"/>
      </w:rPr>
      <mc:AlternateContent>
        <mc:Choice Requires="wps">
          <w:drawing>
            <wp:anchor distT="0" distB="0" distL="0" distR="0" simplePos="0" relativeHeight="251660288" behindDoc="1" locked="0" layoutInCell="1" allowOverlap="1" wp14:anchorId="60DD63D3" wp14:editId="284B80A7">
              <wp:simplePos x="0" y="0"/>
              <wp:positionH relativeFrom="page">
                <wp:posOffset>362585</wp:posOffset>
              </wp:positionH>
              <wp:positionV relativeFrom="paragraph">
                <wp:posOffset>217805</wp:posOffset>
              </wp:positionV>
              <wp:extent cx="6778625" cy="45085"/>
              <wp:effectExtent l="0" t="0" r="0" b="0"/>
              <wp:wrapTopAndBottom/>
              <wp:docPr id="1" name="Graphic 1"/>
              <wp:cNvGraphicFramePr/>
              <a:graphic xmlns:a="http://schemas.openxmlformats.org/drawingml/2006/main">
                <a:graphicData uri="http://schemas.microsoft.com/office/word/2010/wordprocessingShape">
                  <wps:wsp>
                    <wps:cNvSpPr/>
                    <wps:spPr>
                      <a:xfrm>
                        <a:off x="0" y="0"/>
                        <a:ext cx="6778625" cy="45085"/>
                      </a:xfrm>
                      <a:custGeom>
                        <a:avLst/>
                        <a:gdLst/>
                        <a:ahLst/>
                        <a:cxnLst/>
                        <a:rect l="l" t="t" r="r" b="b"/>
                        <a:pathLst>
                          <a:path w="5676900">
                            <a:moveTo>
                              <a:pt x="0" y="0"/>
                            </a:moveTo>
                            <a:lnTo>
                              <a:pt x="5676900" y="0"/>
                            </a:lnTo>
                          </a:path>
                        </a:pathLst>
                      </a:custGeom>
                      <a:ln>
                        <a:solidFill>
                          <a:srgbClr val="215B57"/>
                        </a:solidFill>
                      </a:ln>
                    </wps:spPr>
                    <wps:style>
                      <a:lnRef idx="3">
                        <a:schemeClr val="dk1"/>
                      </a:lnRef>
                      <a:fillRef idx="0">
                        <a:schemeClr val="dk1"/>
                      </a:fillRef>
                      <a:effectRef idx="2">
                        <a:schemeClr val="dk1"/>
                      </a:effectRef>
                      <a:fontRef idx="minor">
                        <a:schemeClr val="tx1"/>
                      </a:fontRef>
                    </wps:style>
                    <wps:bodyPr wrap="square" lIns="0" tIns="0" rIns="0" bIns="0" rtlCol="0">
                      <a:noAutofit/>
                    </wps:bodyPr>
                  </wps:wsp>
                </a:graphicData>
              </a:graphic>
            </wp:anchor>
          </w:drawing>
        </mc:Choice>
        <mc:Fallback xmlns:wpsCustomData="http://www.wps.cn/officeDocument/2013/wpsCustomData">
          <w:pict>
            <v:shape id="Graphic 1" o:spid="_x0000_s1026" o:spt="100" style="position:absolute;left:0pt;margin-left:28.55pt;margin-top:17.15pt;height:3.55pt;width:533.75pt;mso-position-horizontal-relative:page;mso-wrap-distance-bottom:0pt;mso-wrap-distance-top:0pt;z-index:-251656192;mso-width-relative:page;mso-height-relative:page;" filled="f" stroked="t" coordsize="5676900,1" o:gfxdata="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X+Y/o9cAAAAJAQAADwAAAAAAAAABACAAAAAiAAAA&#10;ZHJzL2Rvd25yZXYueG1sUEsBAhQAFAAAAAgAh07iQFRW5o1BAgAAvwQAAA4AAAAAAAAAAQAgAAAA&#10;JgEAAGRycy9lMm9Eb2MueG1sUEsFBgAAAAAGAAYAWQEAANkFAAAAAA==&#10;" path="m0,0l5676900,0e">
              <v:fill on="f" focussize="0,0"/>
              <v:stroke weight="1.5pt" color="#215B57 [3200]" miterlimit="8" joinstyle="miter"/>
              <v:imagedata o:title=""/>
              <o:lock v:ext="edit" aspectratio="f"/>
              <v:textbox inset="0mm,0mm,0mm,0mm"/>
              <w10:wrap type="topAndBottom"/>
            </v:shape>
          </w:pict>
        </mc:Fallback>
      </mc:AlternateContent>
    </w:r>
    <w:r>
      <w:rPr>
        <w:rFonts w:ascii="Cambria" w:eastAsia="Libre Baskerville" w:hAnsi="Cambria" w:cs="Libre Baskerville"/>
        <w:color w:val="215B57"/>
        <w:sz w:val="20"/>
        <w:szCs w:val="20"/>
      </w:rPr>
      <w:t>P-ISSN: 1406-2345, E-ISSN: 1108-1234</w:t>
    </w:r>
  </w:p>
  <w:p w14:paraId="7C5E63CF" w14:textId="77777777" w:rsidR="00A90240" w:rsidRDefault="00A90240">
    <w:pPr>
      <w:tabs>
        <w:tab w:val="center" w:pos="4680"/>
        <w:tab w:val="right" w:pos="9360"/>
      </w:tabs>
      <w:spacing w:after="0" w:line="240" w:lineRule="auto"/>
      <w:rPr>
        <w:rFonts w:ascii="Cambria" w:eastAsia="Libre Baskerville" w:hAnsi="Cambria" w:cs="Libre Baskerville"/>
        <w:color w:val="215B57"/>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11C6"/>
    <w:multiLevelType w:val="hybridMultilevel"/>
    <w:tmpl w:val="F1D2B062"/>
    <w:lvl w:ilvl="0" w:tplc="50F4F962">
      <w:start w:val="1"/>
      <w:numFmt w:val="decimal"/>
      <w:lvlText w:val="%1."/>
      <w:lvlJc w:val="left"/>
      <w:pPr>
        <w:ind w:left="360" w:hanging="360"/>
      </w:pPr>
      <w:rPr>
        <w:rFonts w:hint="default"/>
        <w:b/>
        <w:color w:val="00000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268F63F3"/>
    <w:multiLevelType w:val="multilevel"/>
    <w:tmpl w:val="268F63F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8EF07D9"/>
    <w:multiLevelType w:val="multilevel"/>
    <w:tmpl w:val="28EF07D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305433321">
    <w:abstractNumId w:val="1"/>
  </w:num>
  <w:num w:numId="2" w16cid:durableId="174460407">
    <w:abstractNumId w:val="2"/>
  </w:num>
  <w:num w:numId="3" w16cid:durableId="1843742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1F"/>
    <w:rsid w:val="00014341"/>
    <w:rsid w:val="000435F8"/>
    <w:rsid w:val="00061B76"/>
    <w:rsid w:val="00084BEB"/>
    <w:rsid w:val="000C2D07"/>
    <w:rsid w:val="000D6099"/>
    <w:rsid w:val="00184C3E"/>
    <w:rsid w:val="001A7DE3"/>
    <w:rsid w:val="00233669"/>
    <w:rsid w:val="00264452"/>
    <w:rsid w:val="00344D06"/>
    <w:rsid w:val="00360B56"/>
    <w:rsid w:val="00370C0E"/>
    <w:rsid w:val="00397467"/>
    <w:rsid w:val="003C3304"/>
    <w:rsid w:val="004256C5"/>
    <w:rsid w:val="0045046C"/>
    <w:rsid w:val="00455F3C"/>
    <w:rsid w:val="00456BEA"/>
    <w:rsid w:val="004E3049"/>
    <w:rsid w:val="004F0411"/>
    <w:rsid w:val="004F1E05"/>
    <w:rsid w:val="00511BEC"/>
    <w:rsid w:val="005E277B"/>
    <w:rsid w:val="005F034A"/>
    <w:rsid w:val="00621443"/>
    <w:rsid w:val="00643A4E"/>
    <w:rsid w:val="00653E1C"/>
    <w:rsid w:val="006713CB"/>
    <w:rsid w:val="006E111D"/>
    <w:rsid w:val="006E68E3"/>
    <w:rsid w:val="00700AB6"/>
    <w:rsid w:val="007317E3"/>
    <w:rsid w:val="007449DC"/>
    <w:rsid w:val="0075448B"/>
    <w:rsid w:val="00775444"/>
    <w:rsid w:val="00852669"/>
    <w:rsid w:val="00895A27"/>
    <w:rsid w:val="00903EF1"/>
    <w:rsid w:val="00913A90"/>
    <w:rsid w:val="009164BC"/>
    <w:rsid w:val="00924430"/>
    <w:rsid w:val="00A049BB"/>
    <w:rsid w:val="00A31881"/>
    <w:rsid w:val="00A42D11"/>
    <w:rsid w:val="00A60C87"/>
    <w:rsid w:val="00A87C56"/>
    <w:rsid w:val="00A90240"/>
    <w:rsid w:val="00AD7B2F"/>
    <w:rsid w:val="00C16486"/>
    <w:rsid w:val="00C626FA"/>
    <w:rsid w:val="00C9231F"/>
    <w:rsid w:val="00CC3558"/>
    <w:rsid w:val="00D1353D"/>
    <w:rsid w:val="00D1572E"/>
    <w:rsid w:val="00D338A8"/>
    <w:rsid w:val="00D5014D"/>
    <w:rsid w:val="00DB720F"/>
    <w:rsid w:val="00DE235C"/>
    <w:rsid w:val="00E00040"/>
    <w:rsid w:val="00E63307"/>
    <w:rsid w:val="00E80EF3"/>
    <w:rsid w:val="00E9038F"/>
    <w:rsid w:val="00E976FC"/>
    <w:rsid w:val="00EE4018"/>
    <w:rsid w:val="00EF3919"/>
    <w:rsid w:val="00F24B98"/>
    <w:rsid w:val="00F926A9"/>
    <w:rsid w:val="00F940DE"/>
    <w:rsid w:val="1D1956C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5FA00AE"/>
  <w15:docId w15:val="{0D25C436-D3D1-4722-815E-B7AAFEF8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8"/>
      <w:lang w:val="en-US" w:bidi="bn-IN"/>
    </w:rPr>
  </w:style>
  <w:style w:type="paragraph" w:styleId="Heading1">
    <w:name w:val="heading 1"/>
    <w:next w:val="Normal"/>
    <w:link w:val="Heading1Char"/>
    <w:uiPriority w:val="9"/>
    <w:qFormat/>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val="en-US" w:eastAsia="fi-FI"/>
    </w:rPr>
  </w:style>
  <w:style w:type="paragraph" w:styleId="Heading2">
    <w:name w:val="heading 2"/>
    <w:next w:val="Normal"/>
    <w:link w:val="Heading2Char"/>
    <w:uiPriority w:val="9"/>
    <w:unhideWhenUsed/>
    <w:qFormat/>
    <w:pPr>
      <w:keepNext/>
      <w:keepLines/>
      <w:spacing w:before="40" w:after="120" w:line="360" w:lineRule="auto"/>
      <w:outlineLvl w:val="1"/>
    </w:pPr>
    <w:rPr>
      <w:rFonts w:ascii="Times New Roman Bold" w:eastAsia="Times New Roman Bold" w:hAnsi="Times New Roman Bold" w:cs="Times New Roman Bold"/>
      <w:color w:val="000000"/>
      <w:sz w:val="24"/>
      <w:szCs w:val="24"/>
      <w:u w:color="000000"/>
      <w:lang w:val="en-US" w:eastAsia="fi-FI"/>
    </w:rPr>
  </w:style>
  <w:style w:type="paragraph" w:styleId="Heading3">
    <w:name w:val="heading 3"/>
    <w:next w:val="Normal"/>
    <w:link w:val="Heading3Char"/>
    <w:uiPriority w:val="9"/>
    <w:unhideWhenUsed/>
    <w:qFormat/>
    <w:pPr>
      <w:keepNext/>
      <w:keepLines/>
      <w:spacing w:before="40" w:after="120" w:line="360" w:lineRule="auto"/>
      <w:outlineLvl w:val="2"/>
    </w:pPr>
    <w:rPr>
      <w:rFonts w:ascii="Times New Roman" w:eastAsia="Times New Roman" w:hAnsi="Times New Roman"/>
      <w:color w:val="000000"/>
      <w:sz w:val="24"/>
      <w:szCs w:val="24"/>
      <w:u w:color="000000"/>
      <w:lang w:val="en-US" w:eastAsia="fi-FI"/>
    </w:rPr>
  </w:style>
  <w:style w:type="paragraph" w:styleId="Heading4">
    <w:name w:val="heading 4"/>
    <w:basedOn w:val="Normal"/>
    <w:next w:val="Normal"/>
    <w:link w:val="Heading4Char"/>
    <w:uiPriority w:val="9"/>
    <w:semiHidden/>
    <w:unhideWhenUsed/>
    <w:qFormat/>
    <w:pPr>
      <w:keepNext/>
      <w:keepLines/>
      <w:spacing w:before="200" w:after="0" w:line="360" w:lineRule="auto"/>
      <w:outlineLvl w:val="3"/>
    </w:pPr>
    <w:rPr>
      <w:rFonts w:ascii="Times New Roman" w:eastAsia="Times New Roman" w:hAnsi="Times New Roman"/>
      <w:bCs/>
      <w:iCs/>
      <w:sz w:val="24"/>
      <w:szCs w:val="24"/>
      <w:u w:color="000000"/>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20"/>
    </w:rPr>
  </w:style>
  <w:style w:type="paragraph" w:styleId="BodyText">
    <w:name w:val="Body Text"/>
    <w:basedOn w:val="Normal"/>
    <w:link w:val="BodyTextChar"/>
    <w:uiPriority w:val="99"/>
    <w:semiHidden/>
    <w:unhideWhenUsed/>
    <w:qFormat/>
    <w:pPr>
      <w:spacing w:after="120"/>
    </w:pPr>
  </w:style>
  <w:style w:type="paragraph" w:styleId="BodyText2">
    <w:name w:val="Body Text 2"/>
    <w:basedOn w:val="Normal"/>
    <w:link w:val="BodyText2Char"/>
    <w:semiHidden/>
    <w:pPr>
      <w:tabs>
        <w:tab w:val="left" w:pos="748"/>
      </w:tabs>
      <w:spacing w:after="0" w:line="360" w:lineRule="auto"/>
    </w:pPr>
    <w:rPr>
      <w:rFonts w:ascii="Times New Roman" w:eastAsia="Times New Roman" w:hAnsi="Times New Roman"/>
      <w:sz w:val="26"/>
      <w:szCs w:val="20"/>
      <w:lang w:bidi="ar-SA"/>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5"/>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5"/>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pacing w:after="0" w:line="240" w:lineRule="auto"/>
    </w:pPr>
    <w:rPr>
      <w:rFonts w:ascii="Times New Roman" w:eastAsia="SimSun" w:hAnsi="Times New Roman"/>
      <w:sz w:val="20"/>
      <w:szCs w:val="20"/>
      <w:lang w:eastAsia="zh-CN" w:bidi="ar-SA"/>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nhideWhenUsed/>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sz w:val="24"/>
      <w:szCs w:val="24"/>
      <w:lang w:val="zh-CN"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eastAsia="Times New Roman" w:hAnsi="Cambria"/>
      <w:color w:val="17365D"/>
      <w:spacing w:val="5"/>
      <w:kern w:val="28"/>
      <w:sz w:val="52"/>
      <w:szCs w:val="52"/>
      <w:u w:color="000000"/>
      <w:lang w:bidi="ar-SA"/>
    </w:rPr>
  </w:style>
  <w:style w:type="paragraph" w:styleId="TOC1">
    <w:name w:val="toc 1"/>
    <w:basedOn w:val="Normal"/>
    <w:next w:val="Normal"/>
    <w:autoRedefine/>
    <w:uiPriority w:val="39"/>
    <w:unhideWhenUsed/>
    <w:qFormat/>
    <w:pPr>
      <w:spacing w:before="120" w:after="0" w:line="360" w:lineRule="auto"/>
    </w:pPr>
    <w:rPr>
      <w:rFonts w:eastAsia="Arial Unicode MS" w:cs="Arial Unicode MS"/>
      <w:b/>
      <w:caps/>
      <w:color w:val="000000"/>
      <w:szCs w:val="22"/>
      <w:u w:color="000000"/>
      <w:lang w:bidi="ar-SA"/>
    </w:rPr>
  </w:style>
  <w:style w:type="paragraph" w:styleId="TOC2">
    <w:name w:val="toc 2"/>
    <w:basedOn w:val="Normal"/>
    <w:next w:val="Normal"/>
    <w:autoRedefine/>
    <w:uiPriority w:val="39"/>
    <w:unhideWhenUsed/>
    <w:qFormat/>
    <w:pP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TOC3">
    <w:name w:val="toc 3"/>
    <w:basedOn w:val="Normal"/>
    <w:next w:val="Normal"/>
    <w:autoRedefine/>
    <w:uiPriority w:val="39"/>
    <w:unhideWhenUsed/>
    <w:qFormat/>
    <w:pPr>
      <w:spacing w:after="0" w:line="360" w:lineRule="auto"/>
      <w:ind w:left="480"/>
    </w:pPr>
    <w:rPr>
      <w:rFonts w:eastAsia="Arial Unicode MS" w:cs="Arial Unicode MS"/>
      <w:i/>
      <w:color w:val="000000"/>
      <w:szCs w:val="22"/>
      <w:u w:color="000000"/>
      <w:lang w:bidi="ar-SA"/>
    </w:rPr>
  </w:style>
  <w:style w:type="paragraph" w:styleId="TOC4">
    <w:name w:val="toc 4"/>
    <w:basedOn w:val="Normal"/>
    <w:next w:val="Normal"/>
    <w:autoRedefine/>
    <w:uiPriority w:val="39"/>
    <w:semiHidden/>
    <w:unhideWhenUsed/>
    <w:qFormat/>
    <w:pPr>
      <w:spacing w:after="0" w:line="360" w:lineRule="auto"/>
      <w:ind w:left="720"/>
    </w:pPr>
    <w:rPr>
      <w:rFonts w:eastAsia="Arial Unicode MS" w:cs="Arial Unicode MS"/>
      <w:color w:val="000000"/>
      <w:sz w:val="18"/>
      <w:szCs w:val="18"/>
      <w:u w:color="000000"/>
      <w:lang w:bidi="ar-SA"/>
    </w:rPr>
  </w:style>
  <w:style w:type="paragraph" w:styleId="TOC5">
    <w:name w:val="toc 5"/>
    <w:basedOn w:val="Normal"/>
    <w:next w:val="Normal"/>
    <w:autoRedefine/>
    <w:uiPriority w:val="39"/>
    <w:semiHidden/>
    <w:unhideWhenUsed/>
    <w:qFormat/>
    <w:pPr>
      <w:spacing w:after="0" w:line="360" w:lineRule="auto"/>
      <w:ind w:left="960"/>
    </w:pPr>
    <w:rPr>
      <w:rFonts w:eastAsia="Arial Unicode MS" w:cs="Arial Unicode MS"/>
      <w:color w:val="000000"/>
      <w:sz w:val="18"/>
      <w:szCs w:val="18"/>
      <w:u w:color="000000"/>
      <w:lang w:bidi="ar-SA"/>
    </w:rPr>
  </w:style>
  <w:style w:type="paragraph" w:styleId="TOC6">
    <w:name w:val="toc 6"/>
    <w:basedOn w:val="Normal"/>
    <w:next w:val="Normal"/>
    <w:autoRedefine/>
    <w:uiPriority w:val="39"/>
    <w:semiHidden/>
    <w:unhideWhenUsed/>
    <w:qFormat/>
    <w:pPr>
      <w:spacing w:after="0" w:line="360" w:lineRule="auto"/>
      <w:ind w:left="1200"/>
    </w:pPr>
    <w:rPr>
      <w:rFonts w:eastAsia="Arial Unicode MS" w:cs="Arial Unicode MS"/>
      <w:color w:val="000000"/>
      <w:sz w:val="18"/>
      <w:szCs w:val="18"/>
      <w:u w:color="000000"/>
      <w:lang w:bidi="ar-SA"/>
    </w:rPr>
  </w:style>
  <w:style w:type="paragraph" w:styleId="TOC7">
    <w:name w:val="toc 7"/>
    <w:basedOn w:val="Normal"/>
    <w:next w:val="Normal"/>
    <w:autoRedefine/>
    <w:uiPriority w:val="39"/>
    <w:semiHidden/>
    <w:unhideWhenUsed/>
    <w:qFormat/>
    <w:pPr>
      <w:spacing w:after="0" w:line="360" w:lineRule="auto"/>
      <w:ind w:left="1440"/>
    </w:pPr>
    <w:rPr>
      <w:rFonts w:eastAsia="Arial Unicode MS" w:cs="Arial Unicode MS"/>
      <w:color w:val="000000"/>
      <w:sz w:val="18"/>
      <w:szCs w:val="18"/>
      <w:u w:color="000000"/>
      <w:lang w:bidi="ar-SA"/>
    </w:rPr>
  </w:style>
  <w:style w:type="paragraph" w:styleId="TOC8">
    <w:name w:val="toc 8"/>
    <w:basedOn w:val="Normal"/>
    <w:next w:val="Normal"/>
    <w:autoRedefine/>
    <w:uiPriority w:val="39"/>
    <w:semiHidden/>
    <w:unhideWhenUsed/>
    <w:qFormat/>
    <w:pPr>
      <w:spacing w:after="0" w:line="360" w:lineRule="auto"/>
      <w:ind w:left="1680"/>
    </w:pPr>
    <w:rPr>
      <w:rFonts w:eastAsia="Arial Unicode MS" w:cs="Arial Unicode MS"/>
      <w:color w:val="000000"/>
      <w:sz w:val="18"/>
      <w:szCs w:val="18"/>
      <w:u w:color="000000"/>
      <w:lang w:bidi="ar-SA"/>
    </w:rPr>
  </w:style>
  <w:style w:type="paragraph" w:styleId="TOC9">
    <w:name w:val="toc 9"/>
    <w:basedOn w:val="Normal"/>
    <w:next w:val="Normal"/>
    <w:autoRedefine/>
    <w:uiPriority w:val="39"/>
    <w:semiHidden/>
    <w:unhideWhenUsed/>
    <w:qFormat/>
    <w:pPr>
      <w:spacing w:after="0" w:line="360" w:lineRule="auto"/>
      <w:ind w:left="1920"/>
    </w:pPr>
    <w:rPr>
      <w:rFonts w:eastAsia="Arial Unicode MS" w:cs="Arial Unicode MS"/>
      <w:color w:val="000000"/>
      <w:sz w:val="18"/>
      <w:szCs w:val="18"/>
      <w:u w:color="000000"/>
      <w:lang w:bidi="ar-SA"/>
    </w:rPr>
  </w:style>
  <w:style w:type="table" w:customStyle="1" w:styleId="TableNormal1">
    <w:name w:val="Table Normal1"/>
    <w:qFormat/>
    <w:rPr>
      <w:rFonts w:ascii="Times New Roman" w:eastAsia="Arial Unicode MS" w:hAnsi="Times New Roman"/>
      <w:sz w:val="24"/>
      <w:szCs w:val="24"/>
      <w:lang w:val="fi-FI" w:eastAsia="fi-FI"/>
    </w:rPr>
    <w:tblPr>
      <w:tblCellMar>
        <w:top w:w="0" w:type="dxa"/>
        <w:left w:w="0" w:type="dxa"/>
        <w:bottom w:w="0" w:type="dxa"/>
        <w:right w:w="0" w:type="dxa"/>
      </w:tblCellMar>
    </w:tblPr>
  </w:style>
  <w:style w:type="character" w:customStyle="1" w:styleId="FootnoteTextChar">
    <w:name w:val="Footnote Text Char"/>
    <w:link w:val="FootnoteText"/>
    <w:uiPriority w:val="99"/>
    <w:qFormat/>
    <w:rPr>
      <w:rFonts w:ascii="Times New Roman" w:eastAsia="SimSun" w:hAnsi="Times New Roman" w:cs="Times New Roman"/>
      <w:sz w:val="20"/>
      <w:szCs w:val="20"/>
      <w:lang w:eastAsia="zh-CN" w:bidi="ar-SA"/>
    </w:rPr>
  </w:style>
  <w:style w:type="paragraph" w:styleId="ListParagraph">
    <w:name w:val="List Paragraph"/>
    <w:basedOn w:val="Normal"/>
    <w:uiPriority w:val="99"/>
    <w:qFormat/>
    <w:pPr>
      <w:ind w:left="720"/>
      <w:contextualSpacing/>
    </w:pPr>
  </w:style>
  <w:style w:type="character" w:customStyle="1" w:styleId="BalloonTextChar">
    <w:name w:val="Balloon Text Char"/>
    <w:link w:val="BalloonText"/>
    <w:uiPriority w:val="99"/>
    <w:semiHidden/>
    <w:rPr>
      <w:rFonts w:ascii="Tahoma" w:hAnsi="Tahoma" w:cs="Tahoma"/>
      <w:sz w:val="16"/>
      <w:szCs w:val="20"/>
    </w:rPr>
  </w:style>
  <w:style w:type="paragraph" w:customStyle="1" w:styleId="Bibliografi1">
    <w:name w:val="Bibliografi1"/>
    <w:basedOn w:val="Normal"/>
    <w:next w:val="Normal"/>
    <w:uiPriority w:val="37"/>
    <w:unhideWhenUsed/>
    <w:qFormat/>
  </w:style>
  <w:style w:type="paragraph" w:styleId="NoSpacing">
    <w:name w:val="No Spacing"/>
    <w:uiPriority w:val="1"/>
    <w:qFormat/>
    <w:pPr>
      <w:spacing w:after="200" w:line="276" w:lineRule="auto"/>
      <w:jc w:val="both"/>
    </w:pPr>
    <w:rPr>
      <w:sz w:val="22"/>
      <w:szCs w:val="22"/>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EndnoteTextChar">
    <w:name w:val="Endnote Text Char"/>
    <w:link w:val="EndnoteText"/>
    <w:uiPriority w:val="99"/>
    <w:semiHidden/>
    <w:rPr>
      <w:sz w:val="20"/>
      <w:szCs w:val="25"/>
    </w:rPr>
  </w:style>
  <w:style w:type="paragraph" w:customStyle="1" w:styleId="Default">
    <w:name w:val="Default"/>
    <w:pPr>
      <w:autoSpaceDE w:val="0"/>
      <w:autoSpaceDN w:val="0"/>
      <w:adjustRightInd w:val="0"/>
      <w:spacing w:after="200" w:line="276" w:lineRule="auto"/>
    </w:pPr>
    <w:rPr>
      <w:rFonts w:ascii="Times New Roman" w:hAnsi="Times New Roman"/>
      <w:color w:val="000000"/>
      <w:sz w:val="24"/>
      <w:szCs w:val="24"/>
      <w:lang w:val="en-US" w:bidi="bn-IN"/>
    </w:rPr>
  </w:style>
  <w:style w:type="paragraph" w:customStyle="1" w:styleId="Style1">
    <w:name w:val="Style1"/>
    <w:basedOn w:val="NoSpacing"/>
    <w:link w:val="Style1Char"/>
    <w:qFormat/>
    <w:pPr>
      <w:jc w:val="left"/>
    </w:pPr>
    <w:rPr>
      <w:rFonts w:cs="Vrinda"/>
    </w:rPr>
  </w:style>
  <w:style w:type="character" w:customStyle="1" w:styleId="Style1Char">
    <w:name w:val="Style1 Char"/>
    <w:link w:val="Style1"/>
    <w:rPr>
      <w:rFonts w:ascii="Calibri" w:eastAsia="Calibri" w:hAnsi="Calibri" w:cs="Vrinda"/>
      <w:szCs w:val="22"/>
      <w:lang w:bidi="ar-SA"/>
    </w:rPr>
  </w:style>
  <w:style w:type="character" w:customStyle="1" w:styleId="BodyText2Char">
    <w:name w:val="Body Text 2 Char"/>
    <w:link w:val="BodyText2"/>
    <w:semiHidden/>
    <w:rPr>
      <w:rFonts w:ascii="Times New Roman" w:eastAsia="Times New Roman" w:hAnsi="Times New Roman" w:cs="Times New Roman"/>
      <w:sz w:val="26"/>
      <w:szCs w:val="20"/>
      <w:lang w:bidi="ar-SA"/>
    </w:rPr>
  </w:style>
  <w:style w:type="character" w:customStyle="1" w:styleId="CommentTextChar">
    <w:name w:val="Comment Text Char"/>
    <w:link w:val="CommentText"/>
    <w:uiPriority w:val="99"/>
    <w:rPr>
      <w:sz w:val="20"/>
      <w:szCs w:val="25"/>
    </w:rPr>
  </w:style>
  <w:style w:type="character" w:customStyle="1" w:styleId="CommentSubjectChar">
    <w:name w:val="Comment Subject Char"/>
    <w:link w:val="CommentSubject"/>
    <w:uiPriority w:val="99"/>
    <w:semiHidden/>
    <w:qFormat/>
    <w:rPr>
      <w:b/>
      <w:bCs/>
      <w:sz w:val="20"/>
      <w:szCs w:val="25"/>
    </w:rPr>
  </w:style>
  <w:style w:type="character" w:customStyle="1" w:styleId="apple-converted-space">
    <w:name w:val="apple-converted-space"/>
    <w:basedOn w:val="DefaultParagraphFont"/>
  </w:style>
  <w:style w:type="character" w:customStyle="1" w:styleId="Menyebutkan1">
    <w:name w:val="Menyebutkan1"/>
    <w:uiPriority w:val="99"/>
    <w:semiHidden/>
    <w:unhideWhenUsed/>
    <w:qFormat/>
    <w:rPr>
      <w:color w:val="2B579A"/>
      <w:shd w:val="clear" w:color="auto" w:fill="E6E6E6"/>
    </w:rPr>
  </w:style>
  <w:style w:type="character" w:customStyle="1" w:styleId="SebutanYangBelumTerselesaikan1">
    <w:name w:val="Sebutan Yang Belum Terselesaikan1"/>
    <w:uiPriority w:val="99"/>
    <w:semiHidden/>
    <w:unhideWhenUsed/>
    <w:rPr>
      <w:color w:val="808080"/>
      <w:shd w:val="clear" w:color="auto" w:fill="E6E6E6"/>
    </w:rPr>
  </w:style>
  <w:style w:type="character" w:customStyle="1" w:styleId="Heading1Char">
    <w:name w:val="Heading 1 Char"/>
    <w:link w:val="Heading1"/>
    <w:qFormat/>
    <w:rPr>
      <w:rFonts w:ascii="Times New Roman Bold" w:eastAsia="Times New Roman Bold" w:hAnsi="Times New Roman Bold" w:cs="Times New Roman Bold"/>
      <w:color w:val="000000"/>
      <w:sz w:val="28"/>
      <w:u w:color="000000"/>
      <w:lang w:eastAsia="fi-FI" w:bidi="ar-SA"/>
    </w:rPr>
  </w:style>
  <w:style w:type="character" w:customStyle="1" w:styleId="Heading2Char">
    <w:name w:val="Heading 2 Char"/>
    <w:link w:val="Heading2"/>
    <w:qFormat/>
    <w:rPr>
      <w:rFonts w:ascii="Times New Roman Bold" w:eastAsia="Times New Roman Bold" w:hAnsi="Times New Roman Bold" w:cs="Times New Roman Bold"/>
      <w:color w:val="000000"/>
      <w:sz w:val="24"/>
      <w:szCs w:val="24"/>
      <w:u w:color="000000"/>
      <w:lang w:eastAsia="fi-FI" w:bidi="ar-SA"/>
    </w:rPr>
  </w:style>
  <w:style w:type="character" w:customStyle="1" w:styleId="Heading3Char">
    <w:name w:val="Heading 3 Char"/>
    <w:link w:val="Heading3"/>
    <w:qFormat/>
    <w:rPr>
      <w:rFonts w:ascii="Times New Roman" w:eastAsia="Times New Roman" w:hAnsi="Times New Roman" w:cs="Times New Roman"/>
      <w:color w:val="000000"/>
      <w:sz w:val="24"/>
      <w:szCs w:val="24"/>
      <w:u w:color="000000"/>
      <w:lang w:eastAsia="fi-FI" w:bidi="ar-SA"/>
    </w:rPr>
  </w:style>
  <w:style w:type="character" w:customStyle="1" w:styleId="Heading4Char">
    <w:name w:val="Heading 4 Char"/>
    <w:link w:val="Heading4"/>
    <w:uiPriority w:val="9"/>
    <w:qFormat/>
    <w:rPr>
      <w:rFonts w:ascii="Times New Roman" w:eastAsia="Times New Roman" w:hAnsi="Times New Roman" w:cs="Times New Roman"/>
      <w:bCs/>
      <w:iCs/>
      <w:sz w:val="24"/>
      <w:szCs w:val="24"/>
      <w:u w:color="000000"/>
      <w:lang w:bidi="ar-SA"/>
    </w:rPr>
  </w:style>
  <w:style w:type="paragraph" w:customStyle="1" w:styleId="Yl-jaalaotsake">
    <w:name w:val="Ylä- ja alaotsake"/>
    <w:qFormat/>
    <w:pPr>
      <w:tabs>
        <w:tab w:val="right" w:pos="9020"/>
      </w:tabs>
      <w:spacing w:after="200" w:line="276" w:lineRule="auto"/>
    </w:pPr>
    <w:rPr>
      <w:rFonts w:ascii="Helvetica" w:eastAsia="Arial Unicode MS" w:hAnsi="Arial Unicode MS" w:cs="Arial Unicode MS"/>
      <w:color w:val="000000"/>
      <w:sz w:val="24"/>
      <w:szCs w:val="24"/>
      <w:lang w:val="fi-FI" w:eastAsia="fi-FI"/>
    </w:rPr>
  </w:style>
  <w:style w:type="paragraph" w:customStyle="1" w:styleId="JudulTOC1">
    <w:name w:val="Judul TOC1"/>
    <w:next w:val="Normal"/>
    <w:uiPriority w:val="39"/>
    <w:qFormat/>
    <w:pPr>
      <w:keepNext/>
      <w:keepLines/>
      <w:spacing w:before="240" w:after="120" w:line="259" w:lineRule="auto"/>
    </w:pPr>
    <w:rPr>
      <w:rFonts w:ascii="Calibri Light" w:eastAsia="Calibri Light" w:hAnsi="Calibri Light" w:cs="Calibri Light"/>
      <w:color w:val="2E74B5"/>
      <w:sz w:val="32"/>
      <w:szCs w:val="32"/>
      <w:u w:color="2E74B5"/>
      <w:lang w:val="en-US" w:eastAsia="fi-FI"/>
    </w:rPr>
  </w:style>
  <w:style w:type="paragraph" w:customStyle="1" w:styleId="TOC11">
    <w:name w:val="TOC 1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en-US" w:eastAsia="fi-FI"/>
    </w:rPr>
  </w:style>
  <w:style w:type="paragraph" w:customStyle="1" w:styleId="TOC21">
    <w:name w:val="TOC 2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fi-FI" w:eastAsia="fi-FI"/>
    </w:rPr>
  </w:style>
  <w:style w:type="paragraph" w:customStyle="1" w:styleId="TOC31">
    <w:name w:val="TOC 31"/>
    <w:qFormat/>
    <w:pPr>
      <w:tabs>
        <w:tab w:val="right" w:pos="9044"/>
      </w:tabs>
      <w:spacing w:after="100" w:line="360" w:lineRule="auto"/>
      <w:ind w:left="480"/>
    </w:pPr>
    <w:rPr>
      <w:rFonts w:ascii="Times New Roman" w:eastAsia="Times New Roman" w:hAnsi="Times New Roman"/>
      <w:color w:val="000000"/>
      <w:sz w:val="24"/>
      <w:szCs w:val="24"/>
      <w:u w:color="000000"/>
      <w:lang w:val="en-US" w:eastAsia="fi-FI"/>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paragraph" w:customStyle="1" w:styleId="Alaviite">
    <w:name w:val="Alaviite"/>
    <w:qFormat/>
    <w:pPr>
      <w:spacing w:after="200" w:line="276" w:lineRule="auto"/>
    </w:pPr>
    <w:rPr>
      <w:rFonts w:ascii="Helvetica" w:eastAsia="Helvetica" w:hAnsi="Helvetica" w:cs="Helvetica"/>
      <w:color w:val="000000"/>
      <w:sz w:val="22"/>
      <w:szCs w:val="22"/>
      <w:u w:color="000000"/>
      <w:lang w:val="fi-FI" w:eastAsia="fi-FI"/>
    </w:rPr>
  </w:style>
  <w:style w:type="character" w:customStyle="1" w:styleId="TitleChar">
    <w:name w:val="Title Char"/>
    <w:link w:val="Title"/>
    <w:uiPriority w:val="10"/>
    <w:qFormat/>
    <w:rPr>
      <w:rFonts w:ascii="Cambria" w:eastAsia="Times New Roman" w:hAnsi="Cambria" w:cs="Times New Roman"/>
      <w:color w:val="17365D"/>
      <w:spacing w:val="5"/>
      <w:kern w:val="28"/>
      <w:sz w:val="52"/>
      <w:szCs w:val="52"/>
      <w:u w:color="000000"/>
      <w:lang w:bidi="ar-SA"/>
    </w:rPr>
  </w:style>
  <w:style w:type="paragraph" w:customStyle="1" w:styleId="Tyyli1">
    <w:name w:val="Tyyli1"/>
    <w:basedOn w:val="Heading2"/>
    <w:qFormat/>
    <w:rPr>
      <w:b/>
    </w:rPr>
  </w:style>
  <w:style w:type="paragraph" w:customStyle="1" w:styleId="Heading21">
    <w:name w:val="Heading 21"/>
    <w:basedOn w:val="Heading2"/>
    <w:qFormat/>
    <w:rPr>
      <w:b/>
    </w:rPr>
  </w:style>
  <w:style w:type="paragraph" w:customStyle="1" w:styleId="LeiptekstiA">
    <w:name w:val="Leipäteksti A"/>
    <w:qFormat/>
    <w:pPr>
      <w:spacing w:after="200" w:line="276" w:lineRule="auto"/>
    </w:pPr>
    <w:rPr>
      <w:rFonts w:ascii="Times New Roman" w:eastAsia="Arial Unicode MS" w:hAnsi="Arial Unicode MS" w:cs="Arial Unicode MS"/>
      <w:color w:val="000000"/>
      <w:sz w:val="24"/>
      <w:szCs w:val="24"/>
      <w:u w:color="000000"/>
      <w:lang w:val="en-US" w:eastAsia="fi-FI"/>
    </w:rPr>
  </w:style>
  <w:style w:type="paragraph" w:customStyle="1" w:styleId="Revisi1">
    <w:name w:val="Revisi1"/>
    <w:hidden/>
    <w:uiPriority w:val="99"/>
    <w:semiHidden/>
    <w:qFormat/>
    <w:pPr>
      <w:spacing w:after="200" w:line="276" w:lineRule="auto"/>
    </w:pPr>
    <w:rPr>
      <w:rFonts w:ascii="Times New Roman" w:eastAsia="Arial Unicode MS" w:hAnsi="Arial Unicode MS" w:cs="Arial Unicode MS"/>
      <w:color w:val="000000"/>
      <w:sz w:val="24"/>
      <w:szCs w:val="24"/>
      <w:u w:color="000000"/>
      <w:lang w:val="en-US"/>
    </w:rPr>
  </w:style>
  <w:style w:type="character" w:customStyle="1" w:styleId="allowtextselection">
    <w:name w:val="allowtextselection"/>
    <w:basedOn w:val="DefaultParagraphFont"/>
    <w:qFormat/>
  </w:style>
  <w:style w:type="character" w:styleId="PlaceholderText">
    <w:name w:val="Placeholder Text"/>
    <w:uiPriority w:val="99"/>
    <w:semiHidden/>
    <w:qFormat/>
    <w:rPr>
      <w:color w:val="808080"/>
    </w:rPr>
  </w:style>
  <w:style w:type="character" w:customStyle="1" w:styleId="hps">
    <w:name w:val="hps"/>
    <w:qFormat/>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qFormat/>
    <w:rPr>
      <w:i/>
      <w:iCs/>
      <w:color w:val="4472C4" w:themeColor="accent1"/>
      <w:sz w:val="22"/>
      <w:szCs w:val="28"/>
      <w:lang w:val="en-US" w:bidi="bn-IN"/>
    </w:rPr>
  </w:style>
  <w:style w:type="table" w:customStyle="1" w:styleId="Style79">
    <w:name w:val="_Style 79"/>
    <w:basedOn w:val="TableNormal1"/>
    <w:qFormat/>
    <w:tblPr/>
  </w:style>
  <w:style w:type="character" w:customStyle="1" w:styleId="BodyTextChar">
    <w:name w:val="Body Text Char"/>
    <w:basedOn w:val="DefaultParagraphFont"/>
    <w:link w:val="BodyText"/>
    <w:uiPriority w:val="99"/>
    <w:semiHidden/>
    <w:qFormat/>
    <w:rPr>
      <w:szCs w:val="28"/>
      <w:lang w:bidi="bn-IN"/>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eastAsia="en-US" w:bidi="ar-SA"/>
    </w:rPr>
  </w:style>
  <w:style w:type="paragraph" w:customStyle="1" w:styleId="gds-typography">
    <w:name w:val="gds-typography"/>
    <w:basedOn w:val="Normal"/>
    <w:qFormat/>
    <w:pPr>
      <w:spacing w:before="100" w:beforeAutospacing="1" w:after="100" w:afterAutospacing="1" w:line="240" w:lineRule="auto"/>
    </w:pPr>
    <w:rPr>
      <w:rFonts w:ascii="Times New Roman" w:eastAsia="Times New Roman" w:hAnsi="Times New Roman" w:cs="Times New Roman"/>
      <w:sz w:val="24"/>
      <w:szCs w:val="24"/>
      <w:lang w:val="zh-CN" w:eastAsia="zh-CN" w:bidi="ar-SA"/>
    </w:rPr>
  </w:style>
  <w:style w:type="character" w:styleId="UnresolvedMention">
    <w:name w:val="Unresolved Mention"/>
    <w:basedOn w:val="DefaultParagraphFont"/>
    <w:uiPriority w:val="99"/>
    <w:semiHidden/>
    <w:unhideWhenUsed/>
    <w:rsid w:val="00C62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undanuralfiannisa@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zKLo5pc5U8q6g70uBouABs4UWg==">CgMxLjAyDmgueTVqZWQweGd4dmgwMg1oLjMyNzloMTk5cmdiMg5oLm8zNGUyaTh0eXBhNDIOaC5vOThubWV1emp4ZGg4AHIhMVJ1aWFBVkZ4M0kxSmhnLTV3N19yMVZYM3JpZU9ESU9M</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46D6B60-4C89-4F48-9155-4F1B7D782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6125</Words>
  <Characters>34916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Strengthening Legal Protection Against Trademark Counterfeiting on Online Marketplace Platforms in Indonesia Through Regulatory Accountability</vt:lpstr>
    </vt:vector>
  </TitlesOfParts>
  <Company/>
  <LinksUpToDate>false</LinksUpToDate>
  <CharactersWithSpaces>40960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Legal Protection Against Trademark Counterfeiting on Online Marketplace Platforms in Indonesia Through Regulatory Accountability</dc:title>
  <dc:creator>LENOVO</dc:creator>
  <cp:lastModifiedBy>asus user</cp:lastModifiedBy>
  <cp:revision>11</cp:revision>
  <dcterms:created xsi:type="dcterms:W3CDTF">2026-07-16T05:34:00Z</dcterms:created>
  <dcterms:modified xsi:type="dcterms:W3CDTF">2026-07-20T04:31:00Z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2a22d3a1-c90b-3da6-85a2-5f45f7654fdf</vt:lpwstr>
  </property>
  <property fmtid="{D5CDD505-2E9C-101B-9397-08002B2CF9AE}" pid="4" name="GrammarlyDocumentId">
    <vt:lpwstr>e20a2cb0-4628-4bd9-be93-ff36b12d9860</vt:lpwstr>
  </property>
  <property fmtid="{D5CDD505-2E9C-101B-9397-08002B2CF9AE}" pid="5" name="Mendeley Citation Style_1">
    <vt:lpwstr>http://www.zotero.org/styles/chicago-fullnote-bibliography</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KSOTemplateDocerSaveRecord">
    <vt:lpwstr>eyJoZGlkIjoiZTNlYWIxNWI2OWM5OTBjY2RjYWJkZmVlYjhlMGY2OWQiLCJ1c2VySWQiOiI4ODEzNjg0NTc4NTQ3In0=</vt:lpwstr>
  </property>
  <property fmtid="{D5CDD505-2E9C-101B-9397-08002B2CF9AE}" pid="27" name="KSOProductBuildVer">
    <vt:lpwstr>1033-12.1.0.26880</vt:lpwstr>
  </property>
  <property fmtid="{D5CDD505-2E9C-101B-9397-08002B2CF9AE}" pid="28" name="ICV">
    <vt:lpwstr>8D705199CFE54AB89F6E1091B5580B98_12</vt:lpwstr>
  </property>
</Properties>
</file>