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BFCF3"/>
  <w:body>
    <w:p w14:paraId="34A14637" w14:textId="77777777" w:rsidR="00F926A9" w:rsidRDefault="00F926A9">
      <w:pPr>
        <w:spacing w:before="240" w:after="0"/>
        <w:jc w:val="center"/>
        <w:rPr>
          <w:rFonts w:ascii="Cambria" w:eastAsia="EB Garamond" w:hAnsi="Cambria" w:cs="EB Garamond"/>
          <w:b/>
          <w:color w:val="215B57"/>
          <w:sz w:val="32"/>
          <w:szCs w:val="32"/>
          <w:u w:color="000000"/>
          <w:lang w:eastAsia="fi-FI" w:bidi="ar-SA"/>
        </w:rPr>
      </w:pPr>
      <w:r w:rsidRPr="00F926A9">
        <w:rPr>
          <w:rFonts w:ascii="Cambria" w:eastAsia="EB Garamond" w:hAnsi="Cambria" w:cs="EB Garamond"/>
          <w:b/>
          <w:color w:val="215B57"/>
          <w:sz w:val="32"/>
          <w:szCs w:val="32"/>
          <w:u w:color="000000"/>
          <w:lang w:eastAsia="fi-FI" w:bidi="ar-SA"/>
        </w:rPr>
        <w:t xml:space="preserve">Enforcing Music Royalties Against Franchise Restaurants: Restorative Justice and the Mie </w:t>
      </w:r>
      <w:proofErr w:type="spellStart"/>
      <w:r w:rsidRPr="00F926A9">
        <w:rPr>
          <w:rFonts w:ascii="Cambria" w:eastAsia="EB Garamond" w:hAnsi="Cambria" w:cs="EB Garamond"/>
          <w:b/>
          <w:color w:val="215B57"/>
          <w:sz w:val="32"/>
          <w:szCs w:val="32"/>
          <w:u w:color="000000"/>
          <w:lang w:eastAsia="fi-FI" w:bidi="ar-SA"/>
        </w:rPr>
        <w:t>Gacoan</w:t>
      </w:r>
      <w:proofErr w:type="spellEnd"/>
      <w:r w:rsidRPr="00F926A9">
        <w:rPr>
          <w:rFonts w:ascii="Cambria" w:eastAsia="EB Garamond" w:hAnsi="Cambria" w:cs="EB Garamond"/>
          <w:b/>
          <w:color w:val="215B57"/>
          <w:sz w:val="32"/>
          <w:szCs w:val="32"/>
          <w:u w:color="000000"/>
          <w:lang w:eastAsia="fi-FI" w:bidi="ar-SA"/>
        </w:rPr>
        <w:t xml:space="preserve"> Case</w:t>
      </w:r>
    </w:p>
    <w:p w14:paraId="70DF7A6E" w14:textId="38980636" w:rsidR="00A90240" w:rsidRPr="00F926A9" w:rsidRDefault="00F926A9" w:rsidP="00F926A9">
      <w:pPr>
        <w:spacing w:before="240" w:after="0"/>
        <w:jc w:val="center"/>
        <w:rPr>
          <w:rFonts w:ascii="Cambria" w:hAnsi="Cambria"/>
          <w:lang w:val="en-AU" w:eastAsia="fi-FI" w:bidi="ar-SA"/>
        </w:rPr>
      </w:pPr>
      <w:r w:rsidRPr="00F926A9">
        <w:rPr>
          <w:rFonts w:ascii="Cambria" w:hAnsi="Cambria"/>
          <w:lang w:val="en-AU" w:eastAsia="fi-FI" w:bidi="ar-SA"/>
        </w:rPr>
        <w:t>Amunda Nur Alfiannisa</w:t>
      </w:r>
      <w:r w:rsidRPr="00F926A9">
        <w:rPr>
          <w:rFonts w:ascii="Cambria" w:hAnsi="Cambria"/>
          <w:vertAlign w:val="superscript"/>
          <w:lang w:val="en-AU" w:eastAsia="fi-FI" w:bidi="ar-SA"/>
        </w:rPr>
        <w:t>1</w:t>
      </w:r>
      <w:r w:rsidRPr="00F926A9">
        <w:rPr>
          <w:rFonts w:ascii="Cambria" w:hAnsi="Cambria"/>
          <w:lang w:val="en-AU" w:eastAsia="fi-FI" w:bidi="ar-SA"/>
        </w:rPr>
        <w:t>, Zahra Damayanti Gumilar</w:t>
      </w:r>
      <w:r w:rsidRPr="00F926A9">
        <w:rPr>
          <w:rFonts w:ascii="Cambria" w:hAnsi="Cambria"/>
          <w:vertAlign w:val="superscript"/>
          <w:lang w:val="en-AU" w:eastAsia="fi-FI" w:bidi="ar-SA"/>
        </w:rPr>
        <w:t>2</w:t>
      </w:r>
      <w:r w:rsidRPr="00F926A9">
        <w:rPr>
          <w:rFonts w:ascii="Cambria" w:hAnsi="Cambria"/>
          <w:lang w:val="en-AU" w:eastAsia="fi-FI" w:bidi="ar-SA"/>
        </w:rPr>
        <w:t xml:space="preserve">, </w:t>
      </w:r>
      <w:proofErr w:type="spellStart"/>
      <w:r w:rsidRPr="00F926A9">
        <w:rPr>
          <w:rFonts w:ascii="Cambria" w:hAnsi="Cambria"/>
          <w:lang w:val="en-AU" w:eastAsia="fi-FI" w:bidi="ar-SA"/>
        </w:rPr>
        <w:t>Deswita</w:t>
      </w:r>
      <w:proofErr w:type="spellEnd"/>
      <w:r w:rsidRPr="00F926A9">
        <w:rPr>
          <w:rFonts w:ascii="Cambria" w:hAnsi="Cambria"/>
          <w:lang w:val="en-AU" w:eastAsia="fi-FI" w:bidi="ar-SA"/>
        </w:rPr>
        <w:t xml:space="preserve"> Nurhaliza</w:t>
      </w:r>
      <w:r w:rsidRPr="00F926A9">
        <w:rPr>
          <w:rFonts w:ascii="Cambria" w:hAnsi="Cambria"/>
          <w:vertAlign w:val="superscript"/>
          <w:lang w:val="en-AU" w:eastAsia="fi-FI" w:bidi="ar-SA"/>
        </w:rPr>
        <w:t>3</w:t>
      </w:r>
      <w:r w:rsidRPr="00F926A9">
        <w:rPr>
          <w:rFonts w:ascii="Cambria" w:hAnsi="Cambria"/>
          <w:lang w:val="en-AU" w:eastAsia="fi-FI" w:bidi="ar-SA"/>
        </w:rPr>
        <w:t xml:space="preserve">, Ikhwan </w:t>
      </w:r>
      <w:proofErr w:type="spellStart"/>
      <w:r w:rsidRPr="00F926A9">
        <w:rPr>
          <w:rFonts w:ascii="Cambria" w:hAnsi="Cambria"/>
          <w:lang w:val="en-AU" w:eastAsia="fi-FI" w:bidi="ar-SA"/>
        </w:rPr>
        <w:t>Aulia</w:t>
      </w:r>
      <w:proofErr w:type="spellEnd"/>
      <w:r w:rsidRPr="00F926A9">
        <w:rPr>
          <w:rFonts w:ascii="Cambria" w:hAnsi="Cambria"/>
          <w:lang w:val="en-AU" w:eastAsia="fi-FI" w:bidi="ar-SA"/>
        </w:rPr>
        <w:t xml:space="preserve"> Fatahillah</w:t>
      </w:r>
      <w:r w:rsidRPr="00F926A9">
        <w:rPr>
          <w:rFonts w:ascii="Cambria" w:hAnsi="Cambria"/>
          <w:vertAlign w:val="superscript"/>
          <w:lang w:val="en-AU" w:eastAsia="fi-FI" w:bidi="ar-SA"/>
        </w:rPr>
        <w:t>4</w:t>
      </w:r>
    </w:p>
    <w:p w14:paraId="4868B5A9" w14:textId="4FE76C46" w:rsidR="00A90240" w:rsidRDefault="00000000">
      <w:pPr>
        <w:spacing w:after="0"/>
        <w:jc w:val="center"/>
        <w:rPr>
          <w:rFonts w:ascii="Cambria" w:hAnsi="Cambria"/>
          <w:i/>
          <w:iCs/>
          <w:sz w:val="18"/>
          <w:szCs w:val="18"/>
          <w:lang w:val="id-ID" w:eastAsia="fi-FI" w:bidi="ar-SA"/>
        </w:rPr>
      </w:pPr>
      <w:r>
        <w:rPr>
          <w:rFonts w:ascii="Cambria" w:hAnsi="Cambria"/>
          <w:i/>
          <w:iCs/>
          <w:sz w:val="18"/>
          <w:szCs w:val="18"/>
          <w:vertAlign w:val="superscript"/>
          <w:lang w:val="id-ID" w:eastAsia="fi-FI" w:bidi="ar-SA"/>
        </w:rPr>
        <w:t>1</w:t>
      </w:r>
      <w:r w:rsidR="00D5014D">
        <w:rPr>
          <w:rFonts w:ascii="Cambria" w:hAnsi="Cambria"/>
          <w:i/>
          <w:iCs/>
          <w:sz w:val="18"/>
          <w:szCs w:val="18"/>
          <w:vertAlign w:val="superscript"/>
          <w:lang w:val="id-ID" w:eastAsia="fi-FI" w:bidi="ar-SA"/>
        </w:rPr>
        <w:t>,,</w:t>
      </w:r>
      <w:r>
        <w:rPr>
          <w:rFonts w:ascii="Cambria" w:hAnsi="Cambria"/>
          <w:i/>
          <w:iCs/>
          <w:sz w:val="18"/>
          <w:szCs w:val="18"/>
          <w:vertAlign w:val="superscript"/>
          <w:lang w:val="id-ID" w:eastAsia="fi-FI" w:bidi="ar-SA"/>
        </w:rPr>
        <w:t>2</w:t>
      </w:r>
      <w:r w:rsidR="00D5014D">
        <w:rPr>
          <w:rFonts w:ascii="Cambria" w:hAnsi="Cambria"/>
          <w:i/>
          <w:iCs/>
          <w:sz w:val="18"/>
          <w:szCs w:val="18"/>
          <w:vertAlign w:val="superscript"/>
          <w:lang w:val="id-ID" w:eastAsia="fi-FI" w:bidi="ar-SA"/>
        </w:rPr>
        <w:t>,</w:t>
      </w:r>
      <w:r>
        <w:rPr>
          <w:rFonts w:ascii="Cambria" w:hAnsi="Cambria"/>
          <w:i/>
          <w:iCs/>
          <w:sz w:val="18"/>
          <w:szCs w:val="18"/>
          <w:vertAlign w:val="superscript"/>
          <w:lang w:val="id-ID" w:eastAsia="fi-FI" w:bidi="ar-SA"/>
        </w:rPr>
        <w:t>3</w:t>
      </w:r>
      <w:r w:rsidR="00D5014D">
        <w:rPr>
          <w:rFonts w:ascii="Cambria" w:hAnsi="Cambria"/>
          <w:i/>
          <w:iCs/>
          <w:sz w:val="18"/>
          <w:szCs w:val="18"/>
          <w:vertAlign w:val="superscript"/>
          <w:lang w:val="id-ID" w:eastAsia="fi-FI" w:bidi="ar-SA"/>
        </w:rPr>
        <w:t>,</w:t>
      </w:r>
      <w:r>
        <w:rPr>
          <w:rFonts w:ascii="Cambria" w:hAnsi="Cambria"/>
          <w:i/>
          <w:iCs/>
          <w:sz w:val="18"/>
          <w:szCs w:val="18"/>
          <w:vertAlign w:val="superscript"/>
          <w:lang w:val="id-ID" w:eastAsia="fi-FI" w:bidi="ar-SA"/>
        </w:rPr>
        <w:t>4</w:t>
      </w:r>
      <w:r w:rsidR="00D5014D">
        <w:rPr>
          <w:rFonts w:ascii="Cambria" w:hAnsi="Cambria"/>
          <w:i/>
          <w:iCs/>
          <w:sz w:val="18"/>
          <w:szCs w:val="18"/>
          <w:vertAlign w:val="superscript"/>
          <w:lang w:val="id-ID" w:eastAsia="fi-FI" w:bidi="ar-SA"/>
        </w:rPr>
        <w:t xml:space="preserve"> </w:t>
      </w:r>
      <w:r w:rsidR="00621443">
        <w:rPr>
          <w:rFonts w:ascii="Cambria" w:hAnsi="Cambria"/>
          <w:i/>
          <w:iCs/>
          <w:sz w:val="18"/>
          <w:szCs w:val="18"/>
          <w:lang w:val="id-ID" w:eastAsia="fi-FI" w:bidi="ar-SA"/>
        </w:rPr>
        <w:t xml:space="preserve">Universitas Islam Negeri Sunan Gunung Djati Bandung </w:t>
      </w:r>
    </w:p>
    <w:p w14:paraId="740DFD37" w14:textId="6775F89C" w:rsidR="00A90240" w:rsidRPr="00621443" w:rsidRDefault="00000000">
      <w:pPr>
        <w:spacing w:after="0"/>
        <w:jc w:val="center"/>
        <w:rPr>
          <w:rFonts w:ascii="Cambria" w:hAnsi="Cambria"/>
          <w:color w:val="000000" w:themeColor="text1"/>
          <w:sz w:val="18"/>
          <w:szCs w:val="18"/>
          <w:lang w:val="id-ID" w:eastAsia="fi-FI" w:bidi="ar-SA"/>
        </w:rPr>
      </w:pPr>
      <w:r>
        <w:rPr>
          <w:rFonts w:ascii="Cambria" w:hAnsi="Cambria"/>
          <w:sz w:val="18"/>
          <w:szCs w:val="18"/>
          <w:vertAlign w:val="superscript"/>
          <w:lang w:val="id-ID" w:eastAsia="fi-FI" w:bidi="ar-SA"/>
        </w:rPr>
        <w:t>*</w:t>
      </w:r>
      <w:r>
        <w:rPr>
          <w:rFonts w:ascii="Cambria" w:hAnsi="Cambria"/>
          <w:sz w:val="18"/>
          <w:szCs w:val="18"/>
          <w:lang w:val="id-ID" w:eastAsia="fi-FI" w:bidi="ar-SA"/>
        </w:rPr>
        <w:t xml:space="preserve">Correspondence: </w:t>
      </w:r>
      <w:hyperlink r:id="rId10" w:history="1">
        <w:r w:rsidR="00F926A9" w:rsidRPr="002B0FBF">
          <w:rPr>
            <w:rStyle w:val="Hyperlink"/>
            <w:rFonts w:ascii="Cambria" w:hAnsi="Cambria"/>
            <w:sz w:val="18"/>
            <w:szCs w:val="18"/>
            <w:lang w:val="id-ID" w:eastAsia="fi-FI" w:bidi="ar-SA"/>
          </w:rPr>
          <w:t>mundanuralfiannisa@gmail.com</w:t>
        </w:r>
      </w:hyperlink>
      <w:r w:rsidR="00F926A9">
        <w:rPr>
          <w:rFonts w:ascii="Cambria" w:hAnsi="Cambria"/>
          <w:sz w:val="18"/>
          <w:szCs w:val="18"/>
          <w:lang w:val="id-ID" w:eastAsia="fi-FI" w:bidi="ar-SA"/>
        </w:rPr>
        <w:t xml:space="preserve"> </w:t>
      </w:r>
    </w:p>
    <w:p w14:paraId="57B82B9A" w14:textId="77777777" w:rsidR="00A90240" w:rsidRDefault="00A90240">
      <w:pPr>
        <w:spacing w:after="0"/>
        <w:jc w:val="center"/>
        <w:rPr>
          <w:rFonts w:ascii="Cambria" w:hAnsi="Cambria"/>
          <w:sz w:val="18"/>
          <w:szCs w:val="18"/>
          <w:vertAlign w:val="superscript"/>
          <w:lang w:val="id-ID" w:eastAsia="fi-FI" w:bidi="ar-SA"/>
        </w:rPr>
      </w:pPr>
    </w:p>
    <w:p w14:paraId="4F6DA044" w14:textId="420222EE" w:rsidR="00A90240" w:rsidRDefault="00000000">
      <w:pPr>
        <w:tabs>
          <w:tab w:val="left" w:pos="142"/>
        </w:tabs>
        <w:spacing w:after="0" w:line="240" w:lineRule="auto"/>
        <w:ind w:right="88"/>
        <w:jc w:val="center"/>
        <w:rPr>
          <w:rFonts w:ascii="Cambria" w:eastAsia="EB Garamond" w:hAnsi="Cambria" w:cs="EB Garamond"/>
          <w:color w:val="000000"/>
          <w:sz w:val="18"/>
          <w:szCs w:val="18"/>
        </w:rPr>
      </w:pPr>
      <w:r w:rsidRPr="0045046C">
        <w:rPr>
          <w:rFonts w:ascii="Cambria" w:eastAsia="EB Garamond" w:hAnsi="Cambria" w:cs="EB Garamond"/>
          <w:b/>
          <w:color w:val="000000"/>
          <w:sz w:val="18"/>
          <w:szCs w:val="18"/>
        </w:rPr>
        <w:t>Article Info:</w:t>
      </w:r>
      <w:r w:rsidRPr="0045046C">
        <w:rPr>
          <w:rFonts w:ascii="Cambria" w:eastAsia="EB Garamond" w:hAnsi="Cambria" w:cs="EB Garamond"/>
          <w:color w:val="000000"/>
          <w:sz w:val="18"/>
          <w:szCs w:val="18"/>
        </w:rPr>
        <w:t xml:space="preserve"> [Submitted: 1</w:t>
      </w:r>
      <w:r w:rsidR="00F926A9">
        <w:rPr>
          <w:rFonts w:ascii="Cambria" w:eastAsia="EB Garamond" w:hAnsi="Cambria" w:cs="EB Garamond"/>
          <w:color w:val="000000"/>
          <w:sz w:val="18"/>
          <w:szCs w:val="18"/>
        </w:rPr>
        <w:t>4</w:t>
      </w:r>
      <w:r w:rsidRPr="0045046C">
        <w:rPr>
          <w:rFonts w:ascii="Cambria" w:eastAsia="EB Garamond" w:hAnsi="Cambria" w:cs="EB Garamond"/>
          <w:color w:val="000000"/>
          <w:sz w:val="18"/>
          <w:szCs w:val="18"/>
        </w:rPr>
        <w:t xml:space="preserve"> </w:t>
      </w:r>
      <w:r w:rsidR="00A31881">
        <w:rPr>
          <w:rFonts w:ascii="Cambria" w:eastAsia="EB Garamond" w:hAnsi="Cambria" w:cs="EB Garamond"/>
          <w:color w:val="000000"/>
          <w:sz w:val="18"/>
          <w:szCs w:val="18"/>
        </w:rPr>
        <w:t>June</w:t>
      </w:r>
      <w:r w:rsidRPr="0045046C">
        <w:rPr>
          <w:rFonts w:ascii="Cambria" w:eastAsia="EB Garamond" w:hAnsi="Cambria" w:cs="EB Garamond"/>
          <w:color w:val="000000"/>
          <w:sz w:val="18"/>
          <w:szCs w:val="18"/>
        </w:rPr>
        <w:t xml:space="preserve"> 202</w:t>
      </w:r>
      <w:r w:rsidR="005E277B" w:rsidRPr="0045046C">
        <w:rPr>
          <w:rFonts w:ascii="Cambria" w:eastAsia="EB Garamond" w:hAnsi="Cambria" w:cs="EB Garamond"/>
          <w:color w:val="000000"/>
          <w:sz w:val="18"/>
          <w:szCs w:val="18"/>
        </w:rPr>
        <w:t>6</w:t>
      </w:r>
      <w:r w:rsidRPr="0045046C">
        <w:rPr>
          <w:rFonts w:ascii="Cambria" w:eastAsia="EB Garamond" w:hAnsi="Cambria" w:cs="EB Garamond"/>
          <w:color w:val="000000"/>
          <w:sz w:val="18"/>
          <w:szCs w:val="18"/>
        </w:rPr>
        <w:t xml:space="preserve"> | Revised Version </w:t>
      </w:r>
      <w:r w:rsidR="00F926A9">
        <w:rPr>
          <w:rFonts w:ascii="Cambria" w:eastAsia="EB Garamond" w:hAnsi="Cambria" w:cs="EB Garamond"/>
          <w:color w:val="000000"/>
          <w:sz w:val="18"/>
          <w:szCs w:val="18"/>
        </w:rPr>
        <w:t>10</w:t>
      </w:r>
      <w:r w:rsidRPr="0045046C">
        <w:rPr>
          <w:rFonts w:ascii="Cambria" w:eastAsia="EB Garamond" w:hAnsi="Cambria" w:cs="EB Garamond"/>
          <w:color w:val="000000"/>
          <w:sz w:val="18"/>
          <w:szCs w:val="18"/>
        </w:rPr>
        <w:t xml:space="preserve"> Ju</w:t>
      </w:r>
      <w:r w:rsidR="00F926A9">
        <w:rPr>
          <w:rFonts w:ascii="Cambria" w:eastAsia="EB Garamond" w:hAnsi="Cambria" w:cs="EB Garamond"/>
          <w:color w:val="000000"/>
          <w:sz w:val="18"/>
          <w:szCs w:val="18"/>
        </w:rPr>
        <w:t>l</w:t>
      </w:r>
      <w:r w:rsidRPr="0045046C">
        <w:rPr>
          <w:rFonts w:ascii="Cambria" w:eastAsia="EB Garamond" w:hAnsi="Cambria" w:cs="EB Garamond"/>
          <w:color w:val="000000"/>
          <w:sz w:val="18"/>
          <w:szCs w:val="18"/>
        </w:rPr>
        <w:t>e 202</w:t>
      </w:r>
      <w:r w:rsidR="005E277B" w:rsidRPr="0045046C">
        <w:rPr>
          <w:rFonts w:ascii="Cambria" w:eastAsia="EB Garamond" w:hAnsi="Cambria" w:cs="EB Garamond"/>
          <w:color w:val="000000"/>
          <w:sz w:val="18"/>
          <w:szCs w:val="18"/>
        </w:rPr>
        <w:t>6</w:t>
      </w:r>
      <w:r w:rsidRPr="0045046C">
        <w:rPr>
          <w:rFonts w:ascii="Cambria" w:eastAsia="EB Garamond" w:hAnsi="Cambria" w:cs="EB Garamond"/>
          <w:color w:val="000000"/>
          <w:sz w:val="18"/>
          <w:szCs w:val="18"/>
        </w:rPr>
        <w:t xml:space="preserve"> | Accepted: </w:t>
      </w:r>
      <w:r w:rsidR="005E277B" w:rsidRPr="0045046C">
        <w:rPr>
          <w:rFonts w:ascii="Cambria" w:eastAsia="EB Garamond" w:hAnsi="Cambria" w:cs="EB Garamond"/>
          <w:color w:val="000000"/>
          <w:sz w:val="18"/>
          <w:szCs w:val="18"/>
        </w:rPr>
        <w:t>15</w:t>
      </w:r>
      <w:r w:rsidRPr="0045046C">
        <w:rPr>
          <w:rFonts w:ascii="Cambria" w:eastAsia="EB Garamond" w:hAnsi="Cambria" w:cs="EB Garamond"/>
          <w:color w:val="000000"/>
          <w:sz w:val="18"/>
          <w:szCs w:val="18"/>
        </w:rPr>
        <w:t xml:space="preserve"> J</w:t>
      </w:r>
      <w:r w:rsidR="005E277B" w:rsidRPr="0045046C">
        <w:rPr>
          <w:rFonts w:ascii="Cambria" w:eastAsia="EB Garamond" w:hAnsi="Cambria" w:cs="EB Garamond"/>
          <w:color w:val="000000"/>
          <w:sz w:val="18"/>
          <w:szCs w:val="18"/>
        </w:rPr>
        <w:t>uly</w:t>
      </w:r>
      <w:r w:rsidRPr="0045046C">
        <w:rPr>
          <w:rFonts w:ascii="Cambria" w:eastAsia="EB Garamond" w:hAnsi="Cambria" w:cs="EB Garamond"/>
          <w:color w:val="000000"/>
          <w:sz w:val="18"/>
          <w:szCs w:val="18"/>
        </w:rPr>
        <w:t xml:space="preserve"> 202</w:t>
      </w:r>
      <w:r w:rsidR="005E277B" w:rsidRPr="0045046C">
        <w:rPr>
          <w:rFonts w:ascii="Cambria" w:eastAsia="EB Garamond" w:hAnsi="Cambria" w:cs="EB Garamond"/>
          <w:color w:val="000000"/>
          <w:sz w:val="18"/>
          <w:szCs w:val="18"/>
        </w:rPr>
        <w:t>6</w:t>
      </w:r>
      <w:r w:rsidRPr="0045046C">
        <w:rPr>
          <w:rFonts w:ascii="Cambria" w:eastAsia="EB Garamond" w:hAnsi="Cambria" w:cs="EB Garamond"/>
          <w:color w:val="000000"/>
          <w:sz w:val="18"/>
          <w:szCs w:val="18"/>
        </w:rPr>
        <w:t>]</w:t>
      </w:r>
    </w:p>
    <w:p w14:paraId="3BAA2B11" w14:textId="77777777" w:rsidR="00A90240" w:rsidRDefault="00A90240">
      <w:pPr>
        <w:spacing w:after="0" w:line="240" w:lineRule="auto"/>
        <w:rPr>
          <w:rFonts w:ascii="EB Garamond" w:eastAsia="EB Garamond" w:hAnsi="EB Garamond" w:cs="EB Garamond"/>
          <w:i/>
          <w:color w:val="000000"/>
          <w:sz w:val="20"/>
          <w:szCs w:val="20"/>
        </w:rPr>
      </w:pPr>
    </w:p>
    <w:p w14:paraId="0A430744" w14:textId="77777777" w:rsidR="00A90240" w:rsidRDefault="00A90240">
      <w:pPr>
        <w:spacing w:after="0" w:line="240" w:lineRule="auto"/>
        <w:rPr>
          <w:rFonts w:ascii="EB Garamond" w:eastAsia="EB Garamond" w:hAnsi="EB Garamond" w:cs="EB Garamond"/>
          <w:i/>
          <w:color w:val="000000"/>
          <w:sz w:val="20"/>
          <w:szCs w:val="20"/>
        </w:rPr>
      </w:pPr>
    </w:p>
    <w:p w14:paraId="487A783F" w14:textId="675F477B" w:rsidR="00A90240" w:rsidRPr="00621443" w:rsidRDefault="00000000">
      <w:pPr>
        <w:spacing w:after="0" w:line="240" w:lineRule="auto"/>
        <w:jc w:val="both"/>
        <w:rPr>
          <w:rFonts w:ascii="Cambria" w:eastAsia="EB Garamond" w:hAnsi="Cambria" w:cs="EB Garamond"/>
          <w:color w:val="000000"/>
          <w:sz w:val="20"/>
          <w:szCs w:val="20"/>
        </w:rPr>
      </w:pPr>
      <w:r w:rsidRPr="00621443">
        <w:rPr>
          <w:rFonts w:ascii="Cambria" w:eastAsia="EB Garamond" w:hAnsi="Cambria" w:cs="EB Garamond"/>
          <w:b/>
          <w:color w:val="000000"/>
          <w:sz w:val="20"/>
          <w:szCs w:val="20"/>
        </w:rPr>
        <w:t>Abstract:</w:t>
      </w:r>
      <w:r w:rsidRPr="00621443">
        <w:rPr>
          <w:rFonts w:ascii="Cambria" w:eastAsia="EB Garamond" w:hAnsi="Cambria" w:cs="EB Garamond"/>
          <w:sz w:val="20"/>
          <w:szCs w:val="20"/>
        </w:rPr>
        <w:t xml:space="preserve"> </w:t>
      </w:r>
      <w:r w:rsidR="00F926A9" w:rsidRPr="00F926A9">
        <w:rPr>
          <w:rFonts w:ascii="Cambria" w:eastAsia="EB Garamond" w:hAnsi="Cambria" w:cs="EB Garamond"/>
          <w:i/>
          <w:iCs/>
          <w:sz w:val="20"/>
          <w:szCs w:val="20"/>
        </w:rPr>
        <w:t xml:space="preserve">Indonesian law has obliged restaurants to pay music royalties since 2021, yet compliance among large culinary chains remained negligible until a criminal investigation was opened in Bali. This study asks why the royalty obligation produced compliance only after </w:t>
      </w:r>
      <w:proofErr w:type="spellStart"/>
      <w:r w:rsidR="00F926A9" w:rsidRPr="00F926A9">
        <w:rPr>
          <w:rFonts w:ascii="Cambria" w:eastAsia="EB Garamond" w:hAnsi="Cambria" w:cs="EB Garamond"/>
          <w:i/>
          <w:iCs/>
          <w:sz w:val="20"/>
          <w:szCs w:val="20"/>
        </w:rPr>
        <w:t>criminalisation</w:t>
      </w:r>
      <w:proofErr w:type="spellEnd"/>
      <w:r w:rsidR="00F926A9" w:rsidRPr="00F926A9">
        <w:rPr>
          <w:rFonts w:ascii="Cambria" w:eastAsia="EB Garamond" w:hAnsi="Cambria" w:cs="EB Garamond"/>
          <w:i/>
          <w:iCs/>
          <w:sz w:val="20"/>
          <w:szCs w:val="20"/>
        </w:rPr>
        <w:t xml:space="preserve">, and what the Constitutional Court decision of 17 December 2025 means for the settlement model that closed the dispute between the national collective management system and the operator of a large noodle-restaurant chain. The study combines doctrinal legal analysis with a supporting empirical layer built from published royalty-collection statistics, the official tariff schedule, and a documented case timeline. Three findings emerge. First, the settlement of more than two billion rupiah, reconstructed against the statutory tariff, implies an average of roughly seventy-three to ninety-seven chargeable seats per outlet, and by itself equals close to three percent of all analogue royalties collected nationally in 2024, which indicates chronic under-collection rather than an isolated breach. Second, compliance was driven by enforcement pressure rather than by legal awareness. Third, the Constitutional Court has converted restorative justice from prosecutorial discretion into a constitutional precondition, which </w:t>
      </w:r>
      <w:proofErr w:type="spellStart"/>
      <w:r w:rsidR="00F926A9" w:rsidRPr="00F926A9">
        <w:rPr>
          <w:rFonts w:ascii="Cambria" w:eastAsia="EB Garamond" w:hAnsi="Cambria" w:cs="EB Garamond"/>
          <w:i/>
          <w:iCs/>
          <w:sz w:val="20"/>
          <w:szCs w:val="20"/>
        </w:rPr>
        <w:t>stabilises</w:t>
      </w:r>
      <w:proofErr w:type="spellEnd"/>
      <w:r w:rsidR="00F926A9" w:rsidRPr="00F926A9">
        <w:rPr>
          <w:rFonts w:ascii="Cambria" w:eastAsia="EB Garamond" w:hAnsi="Cambria" w:cs="EB Garamond"/>
          <w:i/>
          <w:iCs/>
          <w:sz w:val="20"/>
          <w:szCs w:val="20"/>
        </w:rPr>
        <w:t xml:space="preserve"> the settlement model but sharpens the risk of enforcement that reaches only the largest and most visible users</w:t>
      </w:r>
      <w:r w:rsidRPr="00F926A9">
        <w:rPr>
          <w:rFonts w:ascii="Cambria" w:eastAsia="EB Garamond" w:hAnsi="Cambria" w:cs="EB Garamond"/>
          <w:i/>
          <w:iCs/>
          <w:sz w:val="20"/>
          <w:szCs w:val="20"/>
        </w:rPr>
        <w:t>.</w:t>
      </w:r>
    </w:p>
    <w:p w14:paraId="1D63D9BD" w14:textId="77777777" w:rsidR="00A90240" w:rsidRDefault="00A90240">
      <w:pPr>
        <w:spacing w:after="0" w:line="240" w:lineRule="auto"/>
        <w:jc w:val="both"/>
        <w:rPr>
          <w:rFonts w:ascii="EB Garamond" w:eastAsia="EB Garamond" w:hAnsi="EB Garamond" w:cs="EB Garamond"/>
          <w:color w:val="000000"/>
          <w:sz w:val="20"/>
          <w:szCs w:val="20"/>
        </w:rPr>
      </w:pPr>
    </w:p>
    <w:p w14:paraId="12AAEB90" w14:textId="68DF64B6" w:rsidR="00621443" w:rsidRDefault="00000000" w:rsidP="00621443">
      <w:pPr>
        <w:spacing w:after="0" w:line="240" w:lineRule="auto"/>
        <w:jc w:val="both"/>
        <w:rPr>
          <w:rFonts w:ascii="Cambria" w:eastAsia="EB Garamond" w:hAnsi="Cambria" w:cs="EB Garamond"/>
          <w:i/>
          <w:iCs/>
          <w:color w:val="000000"/>
          <w:sz w:val="20"/>
          <w:szCs w:val="20"/>
        </w:rPr>
      </w:pPr>
      <w:r>
        <w:rPr>
          <w:rFonts w:ascii="Cambria" w:eastAsia="EB Garamond" w:hAnsi="Cambria" w:cs="EB Garamond"/>
          <w:b/>
          <w:i/>
          <w:iCs/>
          <w:color w:val="000000"/>
          <w:sz w:val="20"/>
          <w:szCs w:val="20"/>
        </w:rPr>
        <w:t>Keywords:</w:t>
      </w:r>
      <w:r>
        <w:rPr>
          <w:rFonts w:ascii="Cambria" w:eastAsia="EB Garamond" w:hAnsi="Cambria" w:cs="EB Garamond"/>
          <w:i/>
          <w:iCs/>
          <w:color w:val="000000"/>
          <w:sz w:val="20"/>
          <w:szCs w:val="20"/>
        </w:rPr>
        <w:t xml:space="preserve"> </w:t>
      </w:r>
      <w:r w:rsidR="00F926A9" w:rsidRPr="00F926A9">
        <w:rPr>
          <w:rFonts w:ascii="Cambria" w:eastAsia="EB Garamond" w:hAnsi="Cambria" w:cs="EB Garamond"/>
          <w:i/>
          <w:iCs/>
          <w:color w:val="000000"/>
          <w:sz w:val="20"/>
          <w:szCs w:val="20"/>
        </w:rPr>
        <w:t>music royalties; economic rights; legal effectiveness; restorative justice; collective management</w:t>
      </w:r>
      <w:r>
        <w:rPr>
          <w:rFonts w:ascii="Cambria" w:eastAsia="EB Garamond" w:hAnsi="Cambria" w:cs="EB Garamond"/>
          <w:i/>
          <w:iCs/>
          <w:color w:val="000000"/>
          <w:sz w:val="20"/>
          <w:szCs w:val="20"/>
        </w:rPr>
        <w:t>.</w:t>
      </w:r>
    </w:p>
    <w:p w14:paraId="41694009" w14:textId="040D70BE" w:rsidR="00A90240" w:rsidRPr="00C626FA" w:rsidRDefault="00000000" w:rsidP="00C626FA">
      <w:pPr>
        <w:spacing w:before="240" w:line="240" w:lineRule="auto"/>
        <w:jc w:val="center"/>
        <w:rPr>
          <w:rFonts w:ascii="Cambria" w:eastAsia="EB Garamond" w:hAnsi="Cambria" w:cs="EB Garamond"/>
          <w:i/>
          <w:iCs/>
          <w:color w:val="000000"/>
          <w:sz w:val="24"/>
          <w:szCs w:val="24"/>
        </w:rPr>
      </w:pPr>
      <w:r w:rsidRPr="00C626FA">
        <w:rPr>
          <w:rFonts w:ascii="Cambria" w:eastAsia="EB Garamond" w:hAnsi="Cambria" w:cs="EB Garamond"/>
          <w:b/>
          <w:color w:val="215B57"/>
          <w:sz w:val="28"/>
          <w:szCs w:val="36"/>
        </w:rPr>
        <w:t>Introduction</w:t>
      </w:r>
    </w:p>
    <w:p w14:paraId="78B2CD74" w14:textId="77777777" w:rsidR="00F926A9" w:rsidRPr="00F926A9" w:rsidRDefault="00F926A9" w:rsidP="00F926A9">
      <w:pPr>
        <w:spacing w:after="120"/>
        <w:jc w:val="both"/>
        <w:rPr>
          <w:rFonts w:ascii="Cambria" w:eastAsia="Cambria" w:hAnsi="Cambria" w:cs="Times New Roman"/>
          <w:sz w:val="24"/>
          <w:szCs w:val="24"/>
          <w:lang w:val="en-AU" w:eastAsia="en-AU" w:bidi="ar-SA"/>
        </w:rPr>
      </w:pPr>
      <w:r w:rsidRPr="00F926A9">
        <w:rPr>
          <w:rFonts w:ascii="Cambria" w:eastAsia="Cambria" w:hAnsi="Cambria" w:cs="Times New Roman"/>
          <w:sz w:val="24"/>
          <w:szCs w:val="24"/>
          <w:lang w:val="en-AU" w:eastAsia="en-AU" w:bidi="ar-SA"/>
        </w:rPr>
        <w:t>Music has become an operating input of the Indonesian food and beverage industry rather than an ornament of it. Recorded songs shape the atmosphere of a dining room, lengthen the average visit, and are deliberately curated to express a brand. That commercial function is precisely what the law fastens onto: once a work is played to support a business, its use crosses from private enjoyment into the exclusive economic right of the creator, the copyright holder, and the owner of related rights.</w:t>
      </w:r>
      <w:r w:rsidRPr="00F926A9">
        <w:rPr>
          <w:rFonts w:ascii="Cambria" w:eastAsia="Cambria" w:hAnsi="Cambria" w:cs="Times New Roman"/>
          <w:sz w:val="24"/>
          <w:szCs w:val="24"/>
          <w:vertAlign w:val="superscript"/>
          <w:lang w:val="en-AU" w:eastAsia="en-AU" w:bidi="ar-SA"/>
        </w:rPr>
        <w:footnoteReference w:id="1"/>
      </w:r>
      <w:r w:rsidRPr="00F926A9">
        <w:rPr>
          <w:rFonts w:ascii="Cambria" w:eastAsia="Cambria" w:hAnsi="Cambria" w:cs="Times New Roman"/>
          <w:sz w:val="24"/>
          <w:szCs w:val="24"/>
          <w:lang w:val="en-AU" w:eastAsia="en-AU" w:bidi="ar-SA"/>
        </w:rPr>
        <w:t xml:space="preserve"> Since 2021, Indonesian law has made this concrete by listing restaurants, cafés, pubs, bars, bistros, night clubs, and discotheques among the </w:t>
      </w:r>
      <w:r w:rsidRPr="00F926A9">
        <w:rPr>
          <w:rFonts w:ascii="Cambria" w:eastAsia="Cambria" w:hAnsi="Cambria" w:cs="Times New Roman"/>
          <w:sz w:val="24"/>
          <w:szCs w:val="24"/>
          <w:lang w:val="en-AU" w:eastAsia="en-AU" w:bidi="ar-SA"/>
        </w:rPr>
        <w:lastRenderedPageBreak/>
        <w:t>fourteen categories of commercial public services that must pay royalties through the national collective management institution.</w:t>
      </w:r>
      <w:r w:rsidRPr="00F926A9">
        <w:rPr>
          <w:rFonts w:ascii="Cambria" w:eastAsia="Cambria" w:hAnsi="Cambria" w:cs="Times New Roman"/>
          <w:sz w:val="24"/>
          <w:szCs w:val="24"/>
          <w:vertAlign w:val="superscript"/>
          <w:lang w:val="en-AU" w:eastAsia="en-AU" w:bidi="ar-SA"/>
        </w:rPr>
        <w:footnoteReference w:id="2"/>
      </w:r>
    </w:p>
    <w:p w14:paraId="7E80C35D" w14:textId="77777777" w:rsidR="00F926A9" w:rsidRPr="00F926A9" w:rsidRDefault="00F926A9" w:rsidP="00F926A9">
      <w:pPr>
        <w:spacing w:after="120"/>
        <w:jc w:val="both"/>
        <w:rPr>
          <w:rFonts w:ascii="Cambria" w:eastAsia="Cambria" w:hAnsi="Cambria" w:cs="Times New Roman"/>
          <w:sz w:val="24"/>
          <w:szCs w:val="24"/>
          <w:lang w:val="en-AU" w:eastAsia="en-AU" w:bidi="ar-SA"/>
        </w:rPr>
      </w:pPr>
      <w:r w:rsidRPr="00F926A9">
        <w:rPr>
          <w:rFonts w:ascii="Cambria" w:eastAsia="Cambria" w:hAnsi="Cambria" w:cs="Times New Roman"/>
          <w:sz w:val="24"/>
          <w:szCs w:val="24"/>
          <w:lang w:val="en-AU" w:eastAsia="en-AU" w:bidi="ar-SA"/>
        </w:rPr>
        <w:t>The distance between that norm and everyday practice is measurable, and the measurement is unflattering. Analogue royalties collected nationally reached approximately IDR 77 billion in 2024, the highest figure since the collective management system was established, while distributions rose from roughly IDR 27.8 billion in 2022 to IDR 54.2 billion in 2024.</w:t>
      </w:r>
      <w:r w:rsidRPr="00F926A9">
        <w:rPr>
          <w:rFonts w:ascii="Cambria" w:eastAsia="Cambria" w:hAnsi="Cambria" w:cs="Times New Roman"/>
          <w:sz w:val="24"/>
          <w:szCs w:val="24"/>
          <w:vertAlign w:val="superscript"/>
          <w:lang w:val="en-AU" w:eastAsia="en-AU" w:bidi="ar-SA"/>
        </w:rPr>
        <w:footnoteReference w:id="3"/>
      </w:r>
      <w:r w:rsidRPr="00F926A9">
        <w:rPr>
          <w:rFonts w:ascii="Cambria" w:eastAsia="Cambria" w:hAnsi="Cambria" w:cs="Times New Roman"/>
          <w:sz w:val="24"/>
          <w:szCs w:val="24"/>
          <w:lang w:val="en-AU" w:eastAsia="en-AU" w:bidi="ar-SA"/>
        </w:rPr>
        <w:t xml:space="preserve"> In a country whose culinary sector counts hundreds of thousands of licensable venues, an annual collection of that magnitude describes a system that captures only a fraction of what the tariff schedule nominally entitles rights holders to receive. The gap is not primarily normative. The rule exists, the tariff exists, and the collecting institution exists. What has been missing is compliance.</w:t>
      </w:r>
    </w:p>
    <w:p w14:paraId="2CD3BA1A" w14:textId="77777777" w:rsidR="00F926A9" w:rsidRPr="00F926A9" w:rsidRDefault="00F926A9" w:rsidP="00F926A9">
      <w:pPr>
        <w:spacing w:after="120"/>
        <w:jc w:val="both"/>
        <w:rPr>
          <w:rFonts w:ascii="Cambria" w:eastAsia="Cambria" w:hAnsi="Cambria" w:cs="Times New Roman"/>
          <w:sz w:val="24"/>
          <w:szCs w:val="24"/>
          <w:lang w:val="en-AU" w:eastAsia="en-AU" w:bidi="ar-SA"/>
        </w:rPr>
      </w:pPr>
      <w:r w:rsidRPr="00F926A9">
        <w:rPr>
          <w:rFonts w:ascii="Cambria" w:eastAsia="Cambria" w:hAnsi="Cambria" w:cs="Times New Roman"/>
          <w:sz w:val="24"/>
          <w:szCs w:val="24"/>
          <w:lang w:val="en-AU" w:eastAsia="en-AU" w:bidi="ar-SA"/>
        </w:rPr>
        <w:t xml:space="preserve">The dispute between the collective management organisation SELMI and PT Mitra Bali </w:t>
      </w:r>
      <w:proofErr w:type="spellStart"/>
      <w:r w:rsidRPr="00F926A9">
        <w:rPr>
          <w:rFonts w:ascii="Cambria" w:eastAsia="Cambria" w:hAnsi="Cambria" w:cs="Times New Roman"/>
          <w:sz w:val="24"/>
          <w:szCs w:val="24"/>
          <w:lang w:val="en-AU" w:eastAsia="en-AU" w:bidi="ar-SA"/>
        </w:rPr>
        <w:t>Sukses</w:t>
      </w:r>
      <w:proofErr w:type="spellEnd"/>
      <w:r w:rsidRPr="00F926A9">
        <w:rPr>
          <w:rFonts w:ascii="Cambria" w:eastAsia="Cambria" w:hAnsi="Cambria" w:cs="Times New Roman"/>
          <w:sz w:val="24"/>
          <w:szCs w:val="24"/>
          <w:lang w:val="en-AU" w:eastAsia="en-AU" w:bidi="ar-SA"/>
        </w:rPr>
        <w:t xml:space="preserve">, the operator of the Mie </w:t>
      </w:r>
      <w:proofErr w:type="spellStart"/>
      <w:r w:rsidRPr="00F926A9">
        <w:rPr>
          <w:rFonts w:ascii="Cambria" w:eastAsia="Cambria" w:hAnsi="Cambria" w:cs="Times New Roman"/>
          <w:sz w:val="24"/>
          <w:szCs w:val="24"/>
          <w:lang w:val="en-AU" w:eastAsia="en-AU" w:bidi="ar-SA"/>
        </w:rPr>
        <w:t>Gacoan</w:t>
      </w:r>
      <w:proofErr w:type="spellEnd"/>
      <w:r w:rsidRPr="00F926A9">
        <w:rPr>
          <w:rFonts w:ascii="Cambria" w:eastAsia="Cambria" w:hAnsi="Cambria" w:cs="Times New Roman"/>
          <w:sz w:val="24"/>
          <w:szCs w:val="24"/>
          <w:lang w:val="en-AU" w:eastAsia="en-AU" w:bidi="ar-SA"/>
        </w:rPr>
        <w:t xml:space="preserve"> chain, brought that gap into a single file. Billing efforts reportedly began in 2022 and produced no payment;</w:t>
      </w:r>
      <w:r w:rsidRPr="00F926A9">
        <w:rPr>
          <w:rFonts w:ascii="Cambria" w:eastAsia="Cambria" w:hAnsi="Cambria" w:cs="Times New Roman"/>
          <w:sz w:val="24"/>
          <w:szCs w:val="24"/>
          <w:vertAlign w:val="superscript"/>
          <w:lang w:val="en-AU" w:eastAsia="en-AU" w:bidi="ar-SA"/>
        </w:rPr>
        <w:footnoteReference w:id="4"/>
      </w:r>
      <w:r w:rsidRPr="00F926A9">
        <w:rPr>
          <w:rFonts w:ascii="Cambria" w:eastAsia="Cambria" w:hAnsi="Cambria" w:cs="Times New Roman"/>
          <w:sz w:val="24"/>
          <w:szCs w:val="24"/>
          <w:lang w:val="en-AU" w:eastAsia="en-AU" w:bidi="ar-SA"/>
        </w:rPr>
        <w:t xml:space="preserve"> a complaint was lodged in August 2024 and registered as a police report in January 2025; the company director was named a suspect; and only then, on 8 August 2025, did the parties sign a settlement under which the company paid IDR 2,264,502,000 covering song use across sixty-five outlets nationally through December 2025, after which the Bali Regional Police closed the case through restorative justice.</w:t>
      </w:r>
      <w:r w:rsidRPr="00F926A9">
        <w:rPr>
          <w:rFonts w:ascii="Cambria" w:eastAsia="Cambria" w:hAnsi="Cambria" w:cs="Times New Roman"/>
          <w:sz w:val="24"/>
          <w:szCs w:val="24"/>
          <w:vertAlign w:val="superscript"/>
          <w:lang w:val="en-AU" w:eastAsia="en-AU" w:bidi="ar-SA"/>
        </w:rPr>
        <w:footnoteReference w:id="5"/>
      </w:r>
      <w:r w:rsidRPr="00F926A9">
        <w:rPr>
          <w:rFonts w:ascii="Cambria" w:eastAsia="Cambria" w:hAnsi="Cambria" w:cs="Times New Roman"/>
          <w:sz w:val="24"/>
          <w:szCs w:val="24"/>
          <w:lang w:val="en-AU" w:eastAsia="en-AU" w:bidi="ar-SA"/>
        </w:rPr>
        <w:t xml:space="preserve"> The sequence is the analytically interesting part. Three years of persuasion produced nothing; four months of criminal exposure produced full payment.</w:t>
      </w:r>
    </w:p>
    <w:p w14:paraId="51973FE6" w14:textId="77777777" w:rsidR="00F926A9" w:rsidRPr="00F926A9" w:rsidRDefault="00F926A9" w:rsidP="00F926A9">
      <w:pPr>
        <w:spacing w:after="120"/>
        <w:jc w:val="both"/>
        <w:rPr>
          <w:rFonts w:ascii="Cambria" w:eastAsia="Cambria" w:hAnsi="Cambria" w:cs="Times New Roman"/>
          <w:sz w:val="24"/>
          <w:szCs w:val="24"/>
          <w:lang w:val="en-AU" w:eastAsia="en-AU" w:bidi="ar-SA"/>
        </w:rPr>
      </w:pPr>
      <w:r w:rsidRPr="00F926A9">
        <w:rPr>
          <w:rFonts w:ascii="Cambria" w:eastAsia="Cambria" w:hAnsi="Cambria" w:cs="Times New Roman"/>
          <w:sz w:val="24"/>
          <w:szCs w:val="24"/>
          <w:lang w:val="en-AU" w:eastAsia="en-AU" w:bidi="ar-SA"/>
        </w:rPr>
        <w:t>Existing scholarship does not explain that sequence. Three strands dominate. The first analyses copyright infringement on social media and streaming platforms, where the user is an individual and the harm is diffuse. The second treats Government Regulation 56 of 2021 descriptively, restating the categories of commercial use and the mandate of the collecting institutions without testing whether either produces compliance.</w:t>
      </w:r>
      <w:r w:rsidRPr="00F926A9">
        <w:rPr>
          <w:rFonts w:ascii="Cambria" w:eastAsia="Cambria" w:hAnsi="Cambria" w:cs="Times New Roman"/>
          <w:sz w:val="24"/>
          <w:szCs w:val="24"/>
          <w:vertAlign w:val="superscript"/>
          <w:lang w:val="en-AU" w:eastAsia="en-AU" w:bidi="ar-SA"/>
        </w:rPr>
        <w:footnoteReference w:id="6"/>
      </w:r>
      <w:r w:rsidRPr="00F926A9">
        <w:rPr>
          <w:rFonts w:ascii="Cambria" w:eastAsia="Cambria" w:hAnsi="Cambria" w:cs="Times New Roman"/>
          <w:sz w:val="24"/>
          <w:szCs w:val="24"/>
          <w:lang w:val="en-AU" w:eastAsia="en-AU" w:bidi="ar-SA"/>
        </w:rPr>
        <w:t xml:space="preserve"> The third addresses restorative justice as a </w:t>
      </w:r>
      <w:r w:rsidRPr="00F926A9">
        <w:rPr>
          <w:rFonts w:ascii="Cambria" w:eastAsia="Cambria" w:hAnsi="Cambria" w:cs="Times New Roman"/>
          <w:sz w:val="24"/>
          <w:szCs w:val="24"/>
          <w:lang w:val="en-AU" w:eastAsia="en-AU" w:bidi="ar-SA"/>
        </w:rPr>
        <w:lastRenderedPageBreak/>
        <w:t>general development in Indonesian criminal procedure, or in trademark matters, without engaging the specific economics of royalty debt.</w:t>
      </w:r>
      <w:r w:rsidRPr="00F926A9">
        <w:rPr>
          <w:rFonts w:ascii="Cambria" w:eastAsia="Cambria" w:hAnsi="Cambria" w:cs="Times New Roman"/>
          <w:sz w:val="24"/>
          <w:szCs w:val="24"/>
          <w:vertAlign w:val="superscript"/>
          <w:lang w:val="en-AU" w:eastAsia="en-AU" w:bidi="ar-SA"/>
        </w:rPr>
        <w:footnoteReference w:id="7"/>
      </w:r>
      <w:r w:rsidRPr="00F926A9">
        <w:rPr>
          <w:rFonts w:ascii="Cambria" w:eastAsia="Cambria" w:hAnsi="Cambria" w:cs="Times New Roman"/>
          <w:sz w:val="24"/>
          <w:szCs w:val="24"/>
          <w:lang w:val="en-AU" w:eastAsia="en-AU" w:bidi="ar-SA"/>
        </w:rPr>
        <w:t xml:space="preserve"> Studies of collective management performance come closest, identifying weak oversight and low awareness among small and medium users,</w:t>
      </w:r>
      <w:r w:rsidRPr="00F926A9">
        <w:rPr>
          <w:rFonts w:ascii="Cambria" w:eastAsia="Cambria" w:hAnsi="Cambria" w:cs="Times New Roman"/>
          <w:sz w:val="24"/>
          <w:szCs w:val="24"/>
          <w:vertAlign w:val="superscript"/>
          <w:lang w:val="en-AU" w:eastAsia="en-AU" w:bidi="ar-SA"/>
        </w:rPr>
        <w:footnoteReference w:id="8"/>
      </w:r>
      <w:r w:rsidRPr="00F926A9">
        <w:rPr>
          <w:rFonts w:ascii="Cambria" w:eastAsia="Cambria" w:hAnsi="Cambria" w:cs="Times New Roman"/>
          <w:sz w:val="24"/>
          <w:szCs w:val="24"/>
          <w:lang w:val="en-AU" w:eastAsia="en-AU" w:bidi="ar-SA"/>
        </w:rPr>
        <w:t xml:space="preserve"> yet they stop at diagnosis and do not examine the corporate, multi-outlet user at all. The one published study of this case documents its financial and legal consequences, but does so descriptively, and it necessarily predates the constitutional turn of December 2025.</w:t>
      </w:r>
      <w:r w:rsidRPr="00F926A9">
        <w:rPr>
          <w:rFonts w:ascii="Cambria" w:eastAsia="Cambria" w:hAnsi="Cambria" w:cs="Times New Roman"/>
          <w:sz w:val="24"/>
          <w:szCs w:val="24"/>
          <w:vertAlign w:val="superscript"/>
          <w:lang w:val="en-AU" w:eastAsia="en-AU" w:bidi="ar-SA"/>
        </w:rPr>
        <w:footnoteReference w:id="9"/>
      </w:r>
    </w:p>
    <w:p w14:paraId="327B4D32" w14:textId="77777777" w:rsidR="00F926A9" w:rsidRPr="00F926A9" w:rsidRDefault="00F926A9" w:rsidP="00F926A9">
      <w:pPr>
        <w:spacing w:after="120"/>
        <w:jc w:val="both"/>
        <w:rPr>
          <w:rFonts w:ascii="Cambria" w:eastAsia="Cambria" w:hAnsi="Cambria" w:cs="Times New Roman"/>
          <w:sz w:val="24"/>
          <w:szCs w:val="24"/>
          <w:lang w:val="en-AU" w:eastAsia="en-AU" w:bidi="ar-SA"/>
        </w:rPr>
      </w:pPr>
      <w:r w:rsidRPr="00F926A9">
        <w:rPr>
          <w:rFonts w:ascii="Cambria" w:eastAsia="Cambria" w:hAnsi="Cambria" w:cs="Times New Roman"/>
          <w:sz w:val="24"/>
          <w:szCs w:val="24"/>
          <w:lang w:val="en-AU" w:eastAsia="en-AU" w:bidi="ar-SA"/>
        </w:rPr>
        <w:t>That turn is what makes the present moment worth revisiting. On 17 December 2025 the Constitutional Court held that the criminal provision governing violations of economic rights is conditionally unconstitutional unless it is read as requiring restorative justice to be applied first, that reasonable remuneration must follow tariffs set by legislation, and that the party liable for royalties in commercial performances is the organiser.</w:t>
      </w:r>
      <w:r w:rsidRPr="00F926A9">
        <w:rPr>
          <w:rFonts w:ascii="Cambria" w:eastAsia="Cambria" w:hAnsi="Cambria" w:cs="Times New Roman"/>
          <w:sz w:val="24"/>
          <w:szCs w:val="24"/>
          <w:vertAlign w:val="superscript"/>
          <w:lang w:val="en-AU" w:eastAsia="en-AU" w:bidi="ar-SA"/>
        </w:rPr>
        <w:footnoteReference w:id="10"/>
      </w:r>
      <w:r w:rsidRPr="00F926A9">
        <w:rPr>
          <w:rFonts w:ascii="Cambria" w:eastAsia="Cambria" w:hAnsi="Cambria" w:cs="Times New Roman"/>
          <w:sz w:val="24"/>
          <w:szCs w:val="24"/>
          <w:lang w:val="en-AU" w:eastAsia="en-AU" w:bidi="ar-SA"/>
        </w:rPr>
        <w:t xml:space="preserve"> Restorative justice in copyright royalty disputes is therefore no longer a matter of investigative discretion exercised case by case; it has become a constitutional condition on the use of criminal law itself. Every prior analysis of the Mie </w:t>
      </w:r>
      <w:proofErr w:type="spellStart"/>
      <w:r w:rsidRPr="00F926A9">
        <w:rPr>
          <w:rFonts w:ascii="Cambria" w:eastAsia="Cambria" w:hAnsi="Cambria" w:cs="Times New Roman"/>
          <w:sz w:val="24"/>
          <w:szCs w:val="24"/>
          <w:lang w:val="en-AU" w:eastAsia="en-AU" w:bidi="ar-SA"/>
        </w:rPr>
        <w:t>Gacoan</w:t>
      </w:r>
      <w:proofErr w:type="spellEnd"/>
      <w:r w:rsidRPr="00F926A9">
        <w:rPr>
          <w:rFonts w:ascii="Cambria" w:eastAsia="Cambria" w:hAnsi="Cambria" w:cs="Times New Roman"/>
          <w:sz w:val="24"/>
          <w:szCs w:val="24"/>
          <w:lang w:val="en-AU" w:eastAsia="en-AU" w:bidi="ar-SA"/>
        </w:rPr>
        <w:t xml:space="preserve"> settlement was written under the old framework, in which the outcome looked like leniency granted from above.</w:t>
      </w:r>
    </w:p>
    <w:p w14:paraId="197125C4" w14:textId="77777777" w:rsidR="00F926A9" w:rsidRPr="00F926A9" w:rsidRDefault="00F926A9" w:rsidP="00F926A9">
      <w:pPr>
        <w:spacing w:after="120"/>
        <w:jc w:val="both"/>
        <w:rPr>
          <w:rFonts w:ascii="Cambria" w:eastAsia="Cambria" w:hAnsi="Cambria" w:cs="Times New Roman"/>
          <w:sz w:val="24"/>
          <w:szCs w:val="24"/>
          <w:lang w:val="en-AU" w:eastAsia="en-AU" w:bidi="ar-SA"/>
        </w:rPr>
      </w:pPr>
      <w:r w:rsidRPr="00F926A9">
        <w:rPr>
          <w:rFonts w:ascii="Cambria" w:eastAsia="Cambria" w:hAnsi="Cambria" w:cs="Times New Roman"/>
          <w:sz w:val="24"/>
          <w:szCs w:val="24"/>
          <w:lang w:val="en-AU" w:eastAsia="en-AU" w:bidi="ar-SA"/>
        </w:rPr>
        <w:t>This study therefore addresses two questions. First, why did a royalty obligation that had been legally binding since 2021 generate compliance from a national restaurant chain only after criminal investigation began, and what does that reveal about the effectiveness of enforcement of creators’ economic rights against multi-outlet corporate users? Second, following the Constitutional Court decision, what is the legal standing of restorative justice in royalty disputes, and does the settlement model remain replicable and just once criminal exposure ceases to be available as an opening move?</w:t>
      </w:r>
    </w:p>
    <w:p w14:paraId="13A52AFD" w14:textId="72434313" w:rsidR="00F926A9" w:rsidRPr="00F926A9" w:rsidRDefault="00F926A9" w:rsidP="00F926A9">
      <w:pPr>
        <w:spacing w:after="120"/>
        <w:jc w:val="both"/>
        <w:rPr>
          <w:rFonts w:ascii="Times New Roman" w:eastAsia="Cambria" w:hAnsi="Times New Roman" w:cs="Times New Roman"/>
          <w:sz w:val="24"/>
          <w:szCs w:val="24"/>
          <w:lang w:val="en-AU" w:eastAsia="en-AU" w:bidi="ar-SA"/>
        </w:rPr>
      </w:pPr>
      <w:r w:rsidRPr="00F926A9">
        <w:rPr>
          <w:rFonts w:ascii="Cambria" w:eastAsia="Cambria" w:hAnsi="Cambria" w:cs="Times New Roman"/>
          <w:sz w:val="24"/>
          <w:szCs w:val="24"/>
          <w:lang w:val="en-AU" w:eastAsia="en-AU" w:bidi="ar-SA"/>
        </w:rPr>
        <w:t xml:space="preserve">The objective of this research is to explain the drivers of corporate royalty compliance rather than merely to confirm that the obligation exists; to reconstruct, from the tariff schedule and published collection data, what the settlement figure actually represents; and to reposition restorative justice within the constitutional framework that now governs it. The novelty of the study lies in three moves. It is the first analysis to read the case against the post-December 2025 constitutional regime rather than against the regulation alone. It supplies an empirical layer, reconstructing the settlement against the official tariff and locating it within national </w:t>
      </w:r>
      <w:r w:rsidRPr="00F926A9">
        <w:rPr>
          <w:rFonts w:ascii="Cambria" w:eastAsia="Cambria" w:hAnsi="Cambria" w:cs="Times New Roman"/>
          <w:sz w:val="24"/>
          <w:szCs w:val="24"/>
          <w:lang w:val="en-AU" w:eastAsia="en-AU" w:bidi="ar-SA"/>
        </w:rPr>
        <w:lastRenderedPageBreak/>
        <w:t>collection statistics, where prior work has relied on the round figure of two point two billion as a rhetorical device. And it applies the enforcement pyramid of responsive regulation to a category of user that the literature has ignored, showing that what looks like a success story also contains a structural warning</w:t>
      </w:r>
      <w:r w:rsidRPr="00F926A9">
        <w:rPr>
          <w:rFonts w:ascii="Times New Roman" w:eastAsia="Cambria" w:hAnsi="Times New Roman" w:cs="Times New Roman"/>
          <w:sz w:val="24"/>
          <w:szCs w:val="24"/>
          <w:lang w:val="en-AU" w:eastAsia="en-AU" w:bidi="ar-SA"/>
        </w:rPr>
        <w:t>.</w:t>
      </w:r>
      <w:r w:rsidRPr="00F926A9">
        <w:rPr>
          <w:rFonts w:ascii="Times New Roman" w:eastAsia="Cambria" w:hAnsi="Times New Roman" w:cs="Times New Roman"/>
          <w:sz w:val="24"/>
          <w:szCs w:val="24"/>
          <w:lang w:val="en-ID" w:eastAsia="en-ID" w:bidi="ar-SA"/>
        </w:rPr>
        <w:t xml:space="preserve"> </w:t>
      </w:r>
    </w:p>
    <w:p w14:paraId="1F1F6851" w14:textId="3F6DF73E" w:rsidR="00A90240" w:rsidRPr="00621443" w:rsidRDefault="00000000" w:rsidP="00621443">
      <w:pPr>
        <w:jc w:val="both"/>
        <w:rPr>
          <w:rFonts w:ascii="Cambria" w:hAnsi="Cambria"/>
          <w:sz w:val="24"/>
          <w:szCs w:val="32"/>
          <w:lang w:val="id-ID"/>
        </w:rPr>
      </w:pPr>
      <w:r w:rsidRPr="00621443">
        <w:rPr>
          <w:rFonts w:ascii="Cambria" w:hAnsi="Cambria"/>
          <w:sz w:val="24"/>
          <w:szCs w:val="32"/>
          <w:lang w:val="id-ID"/>
        </w:rPr>
        <w:t>.</w:t>
      </w:r>
    </w:p>
    <w:p w14:paraId="12F1BEC0" w14:textId="77777777" w:rsidR="00A90240" w:rsidRPr="00C626FA" w:rsidRDefault="00000000" w:rsidP="00621443">
      <w:pPr>
        <w:jc w:val="center"/>
        <w:rPr>
          <w:rFonts w:ascii="Cambria" w:hAnsi="Cambria"/>
          <w:b/>
          <w:color w:val="215B57"/>
          <w:sz w:val="28"/>
          <w:szCs w:val="36"/>
        </w:rPr>
      </w:pPr>
      <w:r w:rsidRPr="00C626FA">
        <w:rPr>
          <w:rFonts w:ascii="Cambria" w:hAnsi="Cambria"/>
          <w:b/>
          <w:color w:val="215B57"/>
          <w:sz w:val="28"/>
          <w:szCs w:val="36"/>
        </w:rPr>
        <w:t>Methods</w:t>
      </w:r>
    </w:p>
    <w:p w14:paraId="75EDEDE1" w14:textId="77777777" w:rsidR="00F926A9" w:rsidRPr="00F926A9" w:rsidRDefault="00F926A9" w:rsidP="00F926A9">
      <w:pPr>
        <w:spacing w:after="120"/>
        <w:jc w:val="both"/>
        <w:rPr>
          <w:rFonts w:ascii="Cambria" w:eastAsia="Cambria" w:hAnsi="Cambria" w:cs="Times New Roman"/>
          <w:sz w:val="24"/>
          <w:szCs w:val="24"/>
          <w:lang w:val="en-AU" w:eastAsia="en-AU" w:bidi="ar-SA"/>
        </w:rPr>
      </w:pPr>
      <w:r w:rsidRPr="00F926A9">
        <w:rPr>
          <w:rFonts w:ascii="Cambria" w:eastAsia="Cambria" w:hAnsi="Cambria" w:cs="Times New Roman"/>
          <w:sz w:val="24"/>
          <w:szCs w:val="24"/>
          <w:lang w:val="en-AU" w:eastAsia="en-AU" w:bidi="ar-SA"/>
        </w:rPr>
        <w:t>This research is normative-juridical at its core, treating law as a system of principles, norms, and rules that can be internally analysed,</w:t>
      </w:r>
      <w:r w:rsidRPr="00F926A9">
        <w:rPr>
          <w:rFonts w:ascii="Cambria" w:eastAsia="Cambria" w:hAnsi="Cambria" w:cs="Times New Roman"/>
          <w:sz w:val="24"/>
          <w:szCs w:val="24"/>
          <w:vertAlign w:val="superscript"/>
          <w:lang w:val="en-AU" w:eastAsia="en-AU" w:bidi="ar-SA"/>
        </w:rPr>
        <w:footnoteReference w:id="11"/>
      </w:r>
      <w:r w:rsidRPr="00F926A9">
        <w:rPr>
          <w:rFonts w:ascii="Cambria" w:eastAsia="Cambria" w:hAnsi="Cambria" w:cs="Times New Roman"/>
          <w:sz w:val="24"/>
          <w:szCs w:val="24"/>
          <w:lang w:val="en-AU" w:eastAsia="en-AU" w:bidi="ar-SA"/>
        </w:rPr>
        <w:t xml:space="preserve"> and it is supplemented by an empirical layer of published quantitative data. The design is best described as doctrinal analysis with socio-legal support: the doctrinal component establishes what the law requires, while the empirical component tests whether the requirement is being met and at what scale. This combination is a deliberate response to a recognised weakness of purely normative studies of royalty law, which can describe an obligation exhaustively while remaining silent on whether it operates.</w:t>
      </w:r>
    </w:p>
    <w:p w14:paraId="43CBD8BC" w14:textId="77777777" w:rsidR="00F926A9" w:rsidRPr="00F926A9" w:rsidRDefault="00F926A9" w:rsidP="00F926A9">
      <w:pPr>
        <w:spacing w:after="120"/>
        <w:jc w:val="both"/>
        <w:rPr>
          <w:rFonts w:ascii="Cambria" w:eastAsia="Cambria" w:hAnsi="Cambria" w:cs="Times New Roman"/>
          <w:sz w:val="24"/>
          <w:szCs w:val="24"/>
          <w:lang w:val="en-AU" w:eastAsia="en-AU" w:bidi="ar-SA"/>
        </w:rPr>
      </w:pPr>
      <w:r w:rsidRPr="00F926A9">
        <w:rPr>
          <w:rFonts w:ascii="Cambria" w:eastAsia="Cambria" w:hAnsi="Cambria" w:cs="Times New Roman"/>
          <w:sz w:val="24"/>
          <w:szCs w:val="24"/>
          <w:lang w:val="en-AU" w:eastAsia="en-AU" w:bidi="ar-SA"/>
        </w:rPr>
        <w:t xml:space="preserve">Four approaches are used, and each performs a distinct task rather than serving as a label. The </w:t>
      </w:r>
      <w:r w:rsidRPr="00F926A9">
        <w:rPr>
          <w:rFonts w:ascii="Cambria" w:eastAsia="Cambria" w:hAnsi="Cambria" w:cs="Times New Roman"/>
          <w:i/>
          <w:iCs/>
          <w:sz w:val="24"/>
          <w:szCs w:val="24"/>
          <w:lang w:val="en-AU" w:eastAsia="en-AU" w:bidi="ar-SA"/>
        </w:rPr>
        <w:t>statute approach</w:t>
      </w:r>
      <w:r w:rsidRPr="00F926A9">
        <w:rPr>
          <w:rFonts w:ascii="Cambria" w:eastAsia="Cambria" w:hAnsi="Cambria" w:cs="Times New Roman"/>
          <w:sz w:val="24"/>
          <w:szCs w:val="24"/>
          <w:lang w:val="en-AU" w:eastAsia="en-AU" w:bidi="ar-SA"/>
        </w:rPr>
        <w:t xml:space="preserve"> is applied to the hierarchy running from the Copyright Law through Government Regulation 56 of 2021, Minister of Law Regulation 27 of 2025, and the 2016 tariff decree, in order to establish the obligation, the tariff, and the institutional channel for payment. The </w:t>
      </w:r>
      <w:r w:rsidRPr="00F926A9">
        <w:rPr>
          <w:rFonts w:ascii="Cambria" w:eastAsia="Cambria" w:hAnsi="Cambria" w:cs="Times New Roman"/>
          <w:i/>
          <w:iCs/>
          <w:sz w:val="24"/>
          <w:szCs w:val="24"/>
          <w:lang w:val="en-AU" w:eastAsia="en-AU" w:bidi="ar-SA"/>
        </w:rPr>
        <w:t>case approach</w:t>
      </w:r>
      <w:r w:rsidRPr="00F926A9">
        <w:rPr>
          <w:rFonts w:ascii="Cambria" w:eastAsia="Cambria" w:hAnsi="Cambria" w:cs="Times New Roman"/>
          <w:sz w:val="24"/>
          <w:szCs w:val="24"/>
          <w:lang w:val="en-AU" w:eastAsia="en-AU" w:bidi="ar-SA"/>
        </w:rPr>
        <w:t xml:space="preserve"> is applied to two objects: the Mie </w:t>
      </w:r>
      <w:proofErr w:type="spellStart"/>
      <w:r w:rsidRPr="00F926A9">
        <w:rPr>
          <w:rFonts w:ascii="Cambria" w:eastAsia="Cambria" w:hAnsi="Cambria" w:cs="Times New Roman"/>
          <w:sz w:val="24"/>
          <w:szCs w:val="24"/>
          <w:lang w:val="en-AU" w:eastAsia="en-AU" w:bidi="ar-SA"/>
        </w:rPr>
        <w:t>Gacoan</w:t>
      </w:r>
      <w:proofErr w:type="spellEnd"/>
      <w:r w:rsidRPr="00F926A9">
        <w:rPr>
          <w:rFonts w:ascii="Cambria" w:eastAsia="Cambria" w:hAnsi="Cambria" w:cs="Times New Roman"/>
          <w:sz w:val="24"/>
          <w:szCs w:val="24"/>
          <w:lang w:val="en-AU" w:eastAsia="en-AU" w:bidi="ar-SA"/>
        </w:rPr>
        <w:t xml:space="preserve"> enforcement file, reconstructed from official statements and reporting, and Constitutional Court Decision 28/PUU-XXIII/2025, whose </w:t>
      </w:r>
      <w:r w:rsidRPr="00F926A9">
        <w:rPr>
          <w:rFonts w:ascii="Cambria" w:eastAsia="Cambria" w:hAnsi="Cambria" w:cs="Times New Roman"/>
          <w:i/>
          <w:iCs/>
          <w:sz w:val="24"/>
          <w:szCs w:val="24"/>
          <w:lang w:val="en-AU" w:eastAsia="en-AU" w:bidi="ar-SA"/>
        </w:rPr>
        <w:t>ratio decidendi</w:t>
      </w:r>
      <w:r w:rsidRPr="00F926A9">
        <w:rPr>
          <w:rFonts w:ascii="Cambria" w:eastAsia="Cambria" w:hAnsi="Cambria" w:cs="Times New Roman"/>
          <w:sz w:val="24"/>
          <w:szCs w:val="24"/>
          <w:lang w:val="en-AU" w:eastAsia="en-AU" w:bidi="ar-SA"/>
        </w:rPr>
        <w:t xml:space="preserve"> is treated as binding legal material rather than as commentary.</w:t>
      </w:r>
      <w:r w:rsidRPr="00F926A9">
        <w:rPr>
          <w:rFonts w:ascii="Cambria" w:eastAsia="Cambria" w:hAnsi="Cambria" w:cs="Times New Roman"/>
          <w:sz w:val="24"/>
          <w:szCs w:val="24"/>
          <w:vertAlign w:val="superscript"/>
          <w:lang w:val="en-AU" w:eastAsia="en-AU" w:bidi="ar-SA"/>
        </w:rPr>
        <w:footnoteReference w:id="12"/>
      </w:r>
      <w:r w:rsidRPr="00F926A9">
        <w:rPr>
          <w:rFonts w:ascii="Cambria" w:eastAsia="Cambria" w:hAnsi="Cambria" w:cs="Times New Roman"/>
          <w:sz w:val="24"/>
          <w:szCs w:val="24"/>
          <w:lang w:val="en-AU" w:eastAsia="en-AU" w:bidi="ar-SA"/>
        </w:rPr>
        <w:t xml:space="preserve"> The </w:t>
      </w:r>
      <w:r w:rsidRPr="00F926A9">
        <w:rPr>
          <w:rFonts w:ascii="Cambria" w:eastAsia="Cambria" w:hAnsi="Cambria" w:cs="Times New Roman"/>
          <w:i/>
          <w:iCs/>
          <w:sz w:val="24"/>
          <w:szCs w:val="24"/>
          <w:lang w:val="en-AU" w:eastAsia="en-AU" w:bidi="ar-SA"/>
        </w:rPr>
        <w:t>conceptual approach</w:t>
      </w:r>
      <w:r w:rsidRPr="00F926A9">
        <w:rPr>
          <w:rFonts w:ascii="Cambria" w:eastAsia="Cambria" w:hAnsi="Cambria" w:cs="Times New Roman"/>
          <w:sz w:val="24"/>
          <w:szCs w:val="24"/>
          <w:lang w:val="en-AU" w:eastAsia="en-AU" w:bidi="ar-SA"/>
        </w:rPr>
        <w:t xml:space="preserve"> supplies the analytical instruments, namely legal effectiveness, legal protection, and responsive regulation. The </w:t>
      </w:r>
      <w:r w:rsidRPr="00F926A9">
        <w:rPr>
          <w:rFonts w:ascii="Cambria" w:eastAsia="Cambria" w:hAnsi="Cambria" w:cs="Times New Roman"/>
          <w:i/>
          <w:iCs/>
          <w:sz w:val="24"/>
          <w:szCs w:val="24"/>
          <w:lang w:val="en-AU" w:eastAsia="en-AU" w:bidi="ar-SA"/>
        </w:rPr>
        <w:t>analytical approach</w:t>
      </w:r>
      <w:r w:rsidRPr="00F926A9">
        <w:rPr>
          <w:rFonts w:ascii="Cambria" w:eastAsia="Cambria" w:hAnsi="Cambria" w:cs="Times New Roman"/>
          <w:sz w:val="24"/>
          <w:szCs w:val="24"/>
          <w:lang w:val="en-AU" w:eastAsia="en-AU" w:bidi="ar-SA"/>
        </w:rPr>
        <w:t xml:space="preserve"> is used in the reconstruction of the settlement figure, where a legal norm, the per-seat tariff, is used as an arithmetic premise.</w:t>
      </w:r>
    </w:p>
    <w:p w14:paraId="7E4671D8" w14:textId="77777777" w:rsidR="00F926A9" w:rsidRPr="00F926A9" w:rsidRDefault="00F926A9" w:rsidP="00F926A9">
      <w:pPr>
        <w:spacing w:after="120"/>
        <w:jc w:val="both"/>
        <w:rPr>
          <w:rFonts w:ascii="Cambria" w:eastAsia="Cambria" w:hAnsi="Cambria" w:cs="Times New Roman"/>
          <w:sz w:val="24"/>
          <w:szCs w:val="24"/>
          <w:lang w:val="en-AU" w:eastAsia="en-AU" w:bidi="ar-SA"/>
        </w:rPr>
      </w:pPr>
      <w:r w:rsidRPr="00F926A9">
        <w:rPr>
          <w:rFonts w:ascii="Cambria" w:eastAsia="Cambria" w:hAnsi="Cambria" w:cs="Times New Roman"/>
          <w:sz w:val="24"/>
          <w:szCs w:val="24"/>
          <w:lang w:val="en-AU" w:eastAsia="en-AU" w:bidi="ar-SA"/>
        </w:rPr>
        <w:t>Because the core of the study is doctrinal, the concepts of population and sample in their statistical sense are inapposite; legal materials are not drawn randomly from a universe of cases but selected purposively for their relevance to the legal issue.</w:t>
      </w:r>
      <w:r w:rsidRPr="00F926A9">
        <w:rPr>
          <w:rFonts w:ascii="Cambria" w:eastAsia="Cambria" w:hAnsi="Cambria" w:cs="Times New Roman"/>
          <w:sz w:val="24"/>
          <w:szCs w:val="24"/>
          <w:vertAlign w:val="superscript"/>
          <w:lang w:val="en-AU" w:eastAsia="en-AU" w:bidi="ar-SA"/>
        </w:rPr>
        <w:footnoteReference w:id="13"/>
      </w:r>
      <w:r w:rsidRPr="00F926A9">
        <w:rPr>
          <w:rFonts w:ascii="Cambria" w:eastAsia="Cambria" w:hAnsi="Cambria" w:cs="Times New Roman"/>
          <w:sz w:val="24"/>
          <w:szCs w:val="24"/>
          <w:lang w:val="en-AU" w:eastAsia="en-AU" w:bidi="ar-SA"/>
        </w:rPr>
        <w:t xml:space="preserve"> It is nonetheless necessary to state the selection criteria, since a doctrinal corpus that is never specified cannot be audited. Primary legal materials comprise Law 28 of 2014, Government Regulation 56 of 2021, Minister of Law Regulation 27 of 2025, Minister of Law and Human Rights Decree HKI.2.OT.03.01-02 of 2016, Circular Letter HKI-92.KI.01.04 of 2025, and Constitutional Court Decisions 28/PUU-</w:t>
      </w:r>
      <w:r w:rsidRPr="00F926A9">
        <w:rPr>
          <w:rFonts w:ascii="Cambria" w:eastAsia="Cambria" w:hAnsi="Cambria" w:cs="Times New Roman"/>
          <w:sz w:val="24"/>
          <w:szCs w:val="24"/>
          <w:lang w:val="en-AU" w:eastAsia="en-AU" w:bidi="ar-SA"/>
        </w:rPr>
        <w:lastRenderedPageBreak/>
        <w:t>XXIII/2025 and 37/PUU-XXIII/2025. Secondary materials comprise peer-reviewed articles and textbooks on copyright, collective management, legal effectiveness, and restorative justice, selected on the criterion that they address either the royalty regime or the theoretical instruments applied here.</w:t>
      </w:r>
    </w:p>
    <w:p w14:paraId="6F8A6B98" w14:textId="77777777" w:rsidR="00F926A9" w:rsidRPr="00F926A9" w:rsidRDefault="00F926A9" w:rsidP="00F926A9">
      <w:pPr>
        <w:spacing w:after="120"/>
        <w:jc w:val="both"/>
        <w:rPr>
          <w:rFonts w:ascii="Cambria" w:eastAsia="Cambria" w:hAnsi="Cambria" w:cs="Times New Roman"/>
          <w:sz w:val="24"/>
          <w:szCs w:val="24"/>
          <w:lang w:val="en-AU" w:eastAsia="en-AU" w:bidi="ar-SA"/>
        </w:rPr>
      </w:pPr>
      <w:r w:rsidRPr="00F926A9">
        <w:rPr>
          <w:rFonts w:ascii="Cambria" w:eastAsia="Cambria" w:hAnsi="Cambria" w:cs="Times New Roman"/>
          <w:sz w:val="24"/>
          <w:szCs w:val="24"/>
          <w:lang w:val="en-AU" w:eastAsia="en-AU" w:bidi="ar-SA"/>
        </w:rPr>
        <w:t xml:space="preserve">For the empirical layer, the unit of analysis is the enforcement event, not the individual outlet or the individual song. Three enforcement events were selected purposively on the basis of four criteria: the user is a corporate entity operating in commercial public space; the dispute concerns public performance rather than reproduction; the outcome is documented in official statements; and the events fall within the operative period of Government Regulation 56 of 2021. The Mie </w:t>
      </w:r>
      <w:proofErr w:type="spellStart"/>
      <w:r w:rsidRPr="00F926A9">
        <w:rPr>
          <w:rFonts w:ascii="Cambria" w:eastAsia="Cambria" w:hAnsi="Cambria" w:cs="Times New Roman"/>
          <w:sz w:val="24"/>
          <w:szCs w:val="24"/>
          <w:lang w:val="en-AU" w:eastAsia="en-AU" w:bidi="ar-SA"/>
        </w:rPr>
        <w:t>Gacoan</w:t>
      </w:r>
      <w:proofErr w:type="spellEnd"/>
      <w:r w:rsidRPr="00F926A9">
        <w:rPr>
          <w:rFonts w:ascii="Cambria" w:eastAsia="Cambria" w:hAnsi="Cambria" w:cs="Times New Roman"/>
          <w:sz w:val="24"/>
          <w:szCs w:val="24"/>
          <w:lang w:val="en-AU" w:eastAsia="en-AU" w:bidi="ar-SA"/>
        </w:rPr>
        <w:t xml:space="preserve"> file is the primary case; the retail dispute involving a convenience store chain and the performer dispute that triggered the constitutional review serve as comparators, the first for scale and the second for the criminal-law question. Quantitative data consist of royalty collection and distribution figures published by the national collective management institution and the Directorate General of Intellectual Property for 2022 through 2025, together with the statutory tariff.</w:t>
      </w:r>
      <w:r w:rsidRPr="00F926A9">
        <w:rPr>
          <w:rFonts w:ascii="Cambria" w:eastAsia="Cambria" w:hAnsi="Cambria" w:cs="Times New Roman"/>
          <w:sz w:val="24"/>
          <w:szCs w:val="24"/>
          <w:vertAlign w:val="superscript"/>
          <w:lang w:val="en-AU" w:eastAsia="en-AU" w:bidi="ar-SA"/>
        </w:rPr>
        <w:footnoteReference w:id="14"/>
      </w:r>
    </w:p>
    <w:p w14:paraId="075C020D" w14:textId="77777777" w:rsidR="00F926A9" w:rsidRPr="00F926A9" w:rsidRDefault="00F926A9" w:rsidP="00F926A9">
      <w:pPr>
        <w:spacing w:after="120"/>
        <w:jc w:val="both"/>
        <w:rPr>
          <w:rFonts w:ascii="Cambria" w:eastAsia="Cambria" w:hAnsi="Cambria" w:cs="Times New Roman"/>
          <w:sz w:val="24"/>
          <w:szCs w:val="24"/>
          <w:lang w:val="en-AU" w:eastAsia="en-AU" w:bidi="ar-SA"/>
        </w:rPr>
      </w:pPr>
      <w:r w:rsidRPr="00F926A9">
        <w:rPr>
          <w:rFonts w:ascii="Cambria" w:eastAsia="Cambria" w:hAnsi="Cambria" w:cs="Times New Roman"/>
          <w:sz w:val="24"/>
          <w:szCs w:val="24"/>
          <w:lang w:val="en-AU" w:eastAsia="en-AU" w:bidi="ar-SA"/>
        </w:rPr>
        <w:t>Data were collected through document study. Analysis proceeds in three steps. First, content analysis and systematic interpretation are applied to the legal materials, with deductive reasoning from the general norm to the concrete case. Second, a descriptive quantitative reconstruction converts the settlement figure into implied chargeable seat-years using the statutory tariff, and expresses the settlement as a proportion of national collections; because the parties did not publish the calculation basis, the reconstruction is presented as a bounded scenario analysis with its assumptions stated on the face of the table rather than as a determination of the agreed sum. Third, triangulation is applied across official regulatory sources, institutional statistics, and reporting of official statements, with divergent figures reported rather than reconciled silently.</w:t>
      </w:r>
    </w:p>
    <w:p w14:paraId="7E1E8BA4" w14:textId="7224C30F" w:rsidR="00621443" w:rsidRDefault="00F926A9" w:rsidP="00F926A9">
      <w:pPr>
        <w:spacing w:after="120"/>
        <w:jc w:val="both"/>
        <w:rPr>
          <w:rFonts w:ascii="Cambria" w:hAnsi="Cambria"/>
          <w:sz w:val="24"/>
          <w:szCs w:val="32"/>
          <w:lang w:val="id-ID"/>
        </w:rPr>
      </w:pPr>
      <w:r w:rsidRPr="00F926A9">
        <w:rPr>
          <w:rFonts w:ascii="Cambria" w:eastAsia="Cambria" w:hAnsi="Cambria" w:cs="Times New Roman"/>
          <w:sz w:val="24"/>
          <w:szCs w:val="24"/>
          <w:lang w:val="en-AU" w:eastAsia="en-AU" w:bidi="ar-SA"/>
        </w:rPr>
        <w:t>Two limitations follow from this design and are stated in advance. No primary interviews were conducted with the parties, the collecting institution, or investigators, so motives are inferred from documented conduct rather than established from testimony. And the settlement figure was negotiated, which means that the reconstruction can show what the tariff implies but cannot show what the parties in fact conceded to one another</w:t>
      </w:r>
      <w:r w:rsidR="00000000" w:rsidRPr="00F926A9">
        <w:rPr>
          <w:rFonts w:ascii="Cambria" w:hAnsi="Cambria"/>
          <w:sz w:val="24"/>
          <w:szCs w:val="32"/>
          <w:lang w:val="id-ID"/>
        </w:rPr>
        <w:t>.</w:t>
      </w:r>
    </w:p>
    <w:p w14:paraId="770F9537" w14:textId="77777777" w:rsidR="00F926A9" w:rsidRDefault="00F926A9" w:rsidP="00F926A9">
      <w:pPr>
        <w:spacing w:after="120"/>
        <w:jc w:val="both"/>
        <w:rPr>
          <w:rFonts w:ascii="Cambria" w:hAnsi="Cambria"/>
          <w:sz w:val="24"/>
          <w:szCs w:val="32"/>
          <w:lang w:val="id-ID"/>
        </w:rPr>
      </w:pPr>
    </w:p>
    <w:p w14:paraId="62DCE72F" w14:textId="77777777" w:rsidR="00F926A9" w:rsidRPr="00F926A9" w:rsidRDefault="00F926A9" w:rsidP="00F926A9">
      <w:pPr>
        <w:spacing w:after="120"/>
        <w:jc w:val="both"/>
        <w:rPr>
          <w:rFonts w:ascii="Cambria" w:eastAsia="Cambria" w:hAnsi="Cambria" w:cs="Times New Roman"/>
          <w:sz w:val="24"/>
          <w:szCs w:val="24"/>
          <w:lang w:val="en-AU" w:eastAsia="en-AU" w:bidi="ar-SA"/>
        </w:rPr>
      </w:pPr>
    </w:p>
    <w:p w14:paraId="47EB861C" w14:textId="74E005E4" w:rsidR="00A90240" w:rsidRPr="00C626FA" w:rsidRDefault="00000000" w:rsidP="00621443">
      <w:pPr>
        <w:jc w:val="center"/>
        <w:rPr>
          <w:rFonts w:ascii="Cambria" w:hAnsi="Cambria"/>
          <w:sz w:val="28"/>
          <w:szCs w:val="36"/>
          <w:lang w:val="id-ID"/>
        </w:rPr>
      </w:pPr>
      <w:r w:rsidRPr="00C626FA">
        <w:rPr>
          <w:rFonts w:ascii="Cambria" w:hAnsi="Cambria"/>
          <w:b/>
          <w:color w:val="215B57"/>
          <w:sz w:val="28"/>
          <w:szCs w:val="36"/>
        </w:rPr>
        <w:lastRenderedPageBreak/>
        <w:t>Results and Discussion</w:t>
      </w:r>
    </w:p>
    <w:p w14:paraId="3184C819" w14:textId="77777777" w:rsidR="00A90240" w:rsidRDefault="00000000">
      <w:pPr>
        <w:spacing w:before="120"/>
        <w:jc w:val="both"/>
        <w:rPr>
          <w:rFonts w:ascii="Cambria" w:eastAsia="EB Garamond" w:hAnsi="Cambria" w:cs="EB Garamond"/>
          <w:color w:val="000000"/>
          <w:sz w:val="24"/>
          <w:szCs w:val="24"/>
        </w:rPr>
      </w:pPr>
      <w:r>
        <w:rPr>
          <w:rFonts w:ascii="EB Garamond" w:eastAsia="EB Garamond" w:hAnsi="EB Garamond" w:cs="EB Garamond"/>
          <w:noProof/>
          <w:color w:val="F2F2F2" w:themeColor="background1" w:themeShade="F2"/>
          <w:sz w:val="24"/>
          <w:szCs w:val="24"/>
        </w:rPr>
        <mc:AlternateContent>
          <mc:Choice Requires="wps">
            <w:drawing>
              <wp:anchor distT="0" distB="0" distL="114300" distR="114300" simplePos="0" relativeHeight="251659264" behindDoc="0" locked="0" layoutInCell="1" allowOverlap="1" wp14:anchorId="22F91E7C" wp14:editId="49607B13">
                <wp:simplePos x="0" y="0"/>
                <wp:positionH relativeFrom="margin">
                  <wp:align>left</wp:align>
                </wp:positionH>
                <wp:positionV relativeFrom="paragraph">
                  <wp:posOffset>83820</wp:posOffset>
                </wp:positionV>
                <wp:extent cx="5400040" cy="492370"/>
                <wp:effectExtent l="0" t="0" r="10160" b="22225"/>
                <wp:wrapNone/>
                <wp:docPr id="1717309949" name="Persegi Panjang 4"/>
                <wp:cNvGraphicFramePr/>
                <a:graphic xmlns:a="http://schemas.openxmlformats.org/drawingml/2006/main">
                  <a:graphicData uri="http://schemas.microsoft.com/office/word/2010/wordprocessingShape">
                    <wps:wsp>
                      <wps:cNvSpPr/>
                      <wps:spPr>
                        <a:xfrm>
                          <a:off x="0" y="0"/>
                          <a:ext cx="5400040" cy="492370"/>
                        </a:xfrm>
                        <a:prstGeom prst="rect">
                          <a:avLst/>
                        </a:prstGeom>
                        <a:solidFill>
                          <a:srgbClr val="215B57"/>
                        </a:solidFill>
                      </wps:spPr>
                      <wps:style>
                        <a:lnRef idx="2">
                          <a:schemeClr val="accent6">
                            <a:shade val="15000"/>
                          </a:schemeClr>
                        </a:lnRef>
                        <a:fillRef idx="1">
                          <a:schemeClr val="accent6"/>
                        </a:fillRef>
                        <a:effectRef idx="0">
                          <a:schemeClr val="accent6"/>
                        </a:effectRef>
                        <a:fontRef idx="minor">
                          <a:schemeClr val="lt1"/>
                        </a:fontRef>
                      </wps:style>
                      <wps:txbx>
                        <w:txbxContent>
                          <w:p w14:paraId="69DCFFC6" w14:textId="0911FCBE" w:rsidR="00A90240" w:rsidRPr="00621443" w:rsidRDefault="00C16486">
                            <w:pPr>
                              <w:rPr>
                                <w:rFonts w:ascii="Cambria" w:hAnsi="Cambria" w:cs="Arial"/>
                                <w:b/>
                                <w:bCs/>
                                <w:sz w:val="24"/>
                              </w:rPr>
                            </w:pPr>
                            <w:r w:rsidRPr="00C16486">
                              <w:rPr>
                                <w:rFonts w:ascii="Cambria" w:hAnsi="Cambria" w:cs="Arial"/>
                                <w:b/>
                                <w:bCs/>
                                <w:sz w:val="24"/>
                              </w:rPr>
                              <w:t>Analytical Framework: Effectiveness, Protection, and the Enforcement Pyramid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22F91E7C" id="Persegi Panjang 4" o:spid="_x0000_s1026" style="position:absolute;left:0;text-align:left;margin-left:0;margin-top:6.6pt;width:425.2pt;height:38.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" fillcolor="#215b57" strokecolor="#10190a [489]" strokeweight="1pt">
                <v:textbox>
                  <w:txbxContent>
                    <w:p w14:paraId="69DCFFC6" w14:textId="0911FCBE" w:rsidR="00A90240" w:rsidRPr="00621443" w:rsidRDefault="00C16486">
                      <w:pPr>
                        <w:rPr>
                          <w:rFonts w:ascii="Cambria" w:hAnsi="Cambria" w:cs="Arial"/>
                          <w:b/>
                          <w:bCs/>
                          <w:sz w:val="24"/>
                        </w:rPr>
                      </w:pPr>
                      <w:r w:rsidRPr="00C16486">
                        <w:rPr>
                          <w:rFonts w:ascii="Cambria" w:hAnsi="Cambria" w:cs="Arial"/>
                          <w:b/>
                          <w:bCs/>
                          <w:sz w:val="24"/>
                        </w:rPr>
                        <w:t>Analytical Framework: Effectiveness, Protection, and the Enforcement Pyramid</w:t>
                      </w:r>
                    </w:p>
                  </w:txbxContent>
                </v:textbox>
                <w10:wrap anchorx="margin"/>
              </v:rect>
            </w:pict>
          </mc:Fallback>
        </mc:AlternateContent>
      </w:r>
    </w:p>
    <w:p w14:paraId="1AC0F201" w14:textId="0AD909FA" w:rsidR="00A90240" w:rsidRPr="00C16486" w:rsidRDefault="00A90240" w:rsidP="00C16486">
      <w:pPr>
        <w:spacing w:after="0" w:line="240" w:lineRule="auto"/>
        <w:rPr>
          <w:rFonts w:ascii="Cambria" w:eastAsia="Times New Roman" w:hAnsi="Cambria" w:cs="Times New Roman"/>
          <w:sz w:val="24"/>
          <w:szCs w:val="24"/>
          <w:lang w:eastAsia="zh-CN" w:bidi="ar-SA"/>
        </w:rPr>
      </w:pPr>
    </w:p>
    <w:p w14:paraId="7710CE53" w14:textId="77777777" w:rsidR="00A90240" w:rsidRDefault="00A90240">
      <w:pPr>
        <w:pStyle w:val="ListParagraph"/>
        <w:spacing w:after="0" w:line="240" w:lineRule="auto"/>
        <w:rPr>
          <w:rFonts w:ascii="Cambria" w:eastAsia="Times New Roman" w:hAnsi="Cambria" w:cs="Times New Roman"/>
          <w:b/>
          <w:bCs/>
          <w:sz w:val="24"/>
          <w:szCs w:val="24"/>
          <w:lang w:val="zh-CN" w:eastAsia="zh-CN" w:bidi="ar-SA"/>
        </w:rPr>
      </w:pPr>
    </w:p>
    <w:p w14:paraId="35B4DE9F" w14:textId="77777777" w:rsidR="00C16486" w:rsidRPr="00C16486" w:rsidRDefault="00C16486" w:rsidP="00C16486">
      <w:pPr>
        <w:jc w:val="both"/>
        <w:rPr>
          <w:rFonts w:ascii="Cambria" w:hAnsi="Cambria"/>
          <w:sz w:val="24"/>
          <w:szCs w:val="32"/>
          <w:lang w:val="en-AU" w:eastAsia="zh-CN" w:bidi="ar-SA"/>
        </w:rPr>
      </w:pPr>
      <w:r w:rsidRPr="00C16486">
        <w:rPr>
          <w:rFonts w:ascii="Cambria" w:hAnsi="Cambria"/>
          <w:sz w:val="24"/>
          <w:szCs w:val="32"/>
          <w:lang w:val="en-AU" w:eastAsia="zh-CN" w:bidi="ar-SA"/>
        </w:rPr>
        <w:t>Three instruments structure the analysis, and they are chosen because each answers a question the others cannot. Legal effectiveness in the Indonesian tradition is not a function of the rule alone; it depends on five interacting factors, namely the legal substance, the enforcement apparatus, the supporting facilities, the community subject to the rule, and legal culture.</w:t>
      </w:r>
      <w:r w:rsidRPr="00C16486">
        <w:rPr>
          <w:rFonts w:ascii="Cambria" w:hAnsi="Cambria"/>
          <w:sz w:val="24"/>
          <w:szCs w:val="32"/>
          <w:vertAlign w:val="superscript"/>
          <w:lang w:val="en-AU" w:eastAsia="zh-CN" w:bidi="ar-SA"/>
        </w:rPr>
        <w:footnoteReference w:id="15"/>
      </w:r>
      <w:r w:rsidRPr="00C16486">
        <w:rPr>
          <w:rFonts w:ascii="Cambria" w:hAnsi="Cambria"/>
          <w:sz w:val="24"/>
          <w:szCs w:val="32"/>
          <w:lang w:val="en-AU" w:eastAsia="zh-CN" w:bidi="ar-SA"/>
        </w:rPr>
        <w:t xml:space="preserve"> A study that finds a clear rule and a clear breach has therefore established almost nothing about effectiveness, because the rule is only one of the five. Friedman’s tripartite division into substance, structure, and culture performs a similar function with a different emphasis, and is useful here because the royalty regime is a case in which excellent substance coexists with a thin structure and an unreceptive culture.</w:t>
      </w:r>
      <w:r w:rsidRPr="00C16486">
        <w:rPr>
          <w:rFonts w:ascii="Cambria" w:hAnsi="Cambria"/>
          <w:sz w:val="24"/>
          <w:szCs w:val="32"/>
          <w:vertAlign w:val="superscript"/>
          <w:lang w:val="en-AU" w:eastAsia="zh-CN" w:bidi="ar-SA"/>
        </w:rPr>
        <w:footnoteReference w:id="16"/>
      </w:r>
    </w:p>
    <w:p w14:paraId="76CD4270" w14:textId="77777777" w:rsidR="00C16486" w:rsidRPr="00C16486" w:rsidRDefault="00C16486" w:rsidP="00C16486">
      <w:pPr>
        <w:jc w:val="both"/>
        <w:rPr>
          <w:rFonts w:ascii="Cambria" w:hAnsi="Cambria"/>
          <w:sz w:val="24"/>
          <w:szCs w:val="32"/>
          <w:lang w:val="en-AU" w:eastAsia="zh-CN" w:bidi="ar-SA"/>
        </w:rPr>
      </w:pPr>
      <w:r w:rsidRPr="00C16486">
        <w:rPr>
          <w:rFonts w:ascii="Cambria" w:hAnsi="Cambria"/>
          <w:sz w:val="24"/>
          <w:szCs w:val="32"/>
          <w:lang w:val="en-AU" w:eastAsia="zh-CN" w:bidi="ar-SA"/>
        </w:rPr>
        <w:t xml:space="preserve">Legal protection supplies the second instrument. In </w:t>
      </w:r>
      <w:proofErr w:type="spellStart"/>
      <w:r w:rsidRPr="00C16486">
        <w:rPr>
          <w:rFonts w:ascii="Cambria" w:hAnsi="Cambria"/>
          <w:sz w:val="24"/>
          <w:szCs w:val="32"/>
          <w:lang w:val="en-AU" w:eastAsia="zh-CN" w:bidi="ar-SA"/>
        </w:rPr>
        <w:t>Hadjon’s</w:t>
      </w:r>
      <w:proofErr w:type="spellEnd"/>
      <w:r w:rsidRPr="00C16486">
        <w:rPr>
          <w:rFonts w:ascii="Cambria" w:hAnsi="Cambria"/>
          <w:sz w:val="24"/>
          <w:szCs w:val="32"/>
          <w:lang w:val="en-AU" w:eastAsia="zh-CN" w:bidi="ar-SA"/>
        </w:rPr>
        <w:t xml:space="preserve"> formulation, protection is preventive where it gives the subject an opportunity to object before a decision becomes definitive, and repressive where it responds after harm has occurred.</w:t>
      </w:r>
      <w:r w:rsidRPr="00C16486">
        <w:rPr>
          <w:rFonts w:ascii="Cambria" w:hAnsi="Cambria"/>
          <w:sz w:val="24"/>
          <w:szCs w:val="32"/>
          <w:vertAlign w:val="superscript"/>
          <w:lang w:val="en-AU" w:eastAsia="zh-CN" w:bidi="ar-SA"/>
        </w:rPr>
        <w:footnoteReference w:id="17"/>
      </w:r>
      <w:r w:rsidRPr="00C16486">
        <w:rPr>
          <w:rFonts w:ascii="Cambria" w:hAnsi="Cambria"/>
          <w:sz w:val="24"/>
          <w:szCs w:val="32"/>
          <w:lang w:val="en-AU" w:eastAsia="zh-CN" w:bidi="ar-SA"/>
        </w:rPr>
        <w:t xml:space="preserve"> The distinction matters because the royalty system is designed as preventive protection: licensing before playing, payment before liability, self-assessment before enforcement. What the case shows is a system that functions almost exclusively in repressive mode, which is a symptom of design failure rather than of successful enforcement.</w:t>
      </w:r>
    </w:p>
    <w:p w14:paraId="3B7ACA3C" w14:textId="77777777" w:rsidR="00C16486" w:rsidRPr="00C16486" w:rsidRDefault="00C16486" w:rsidP="00C16486">
      <w:pPr>
        <w:jc w:val="both"/>
        <w:rPr>
          <w:rFonts w:ascii="Cambria" w:hAnsi="Cambria"/>
          <w:sz w:val="24"/>
          <w:szCs w:val="32"/>
          <w:lang w:val="en-AU" w:eastAsia="zh-CN" w:bidi="ar-SA"/>
        </w:rPr>
      </w:pPr>
      <w:r w:rsidRPr="00C16486">
        <w:rPr>
          <w:rFonts w:ascii="Cambria" w:hAnsi="Cambria"/>
          <w:sz w:val="24"/>
          <w:szCs w:val="32"/>
          <w:lang w:val="en-AU" w:eastAsia="zh-CN" w:bidi="ar-SA"/>
        </w:rPr>
        <w:t>The third instrument is responsive regulation. Ayres and Braithwaite argue that compliance is best secured by an enforcement pyramid whose base consists of persuasion and whose apex holds sanctions severe enough that regulated actors prefer not to test them; the severe sanction works precisely by being available and credible, not by being used.</w:t>
      </w:r>
      <w:r w:rsidRPr="00C16486">
        <w:rPr>
          <w:rFonts w:ascii="Cambria" w:hAnsi="Cambria"/>
          <w:sz w:val="24"/>
          <w:szCs w:val="32"/>
          <w:vertAlign w:val="superscript"/>
          <w:lang w:val="en-AU" w:eastAsia="zh-CN" w:bidi="ar-SA"/>
        </w:rPr>
        <w:footnoteReference w:id="18"/>
      </w:r>
      <w:r w:rsidRPr="00C16486">
        <w:rPr>
          <w:rFonts w:ascii="Cambria" w:hAnsi="Cambria"/>
          <w:sz w:val="24"/>
          <w:szCs w:val="32"/>
          <w:lang w:val="en-AU" w:eastAsia="zh-CN" w:bidi="ar-SA"/>
        </w:rPr>
        <w:t xml:space="preserve"> Braithwaite’s account of reintegrative shaming completes the picture, explaining why a sanction that stigmatises without offering a route back to compliance tends to be counterproductive,</w:t>
      </w:r>
      <w:r w:rsidRPr="00C16486">
        <w:rPr>
          <w:rFonts w:ascii="Cambria" w:hAnsi="Cambria"/>
          <w:sz w:val="24"/>
          <w:szCs w:val="32"/>
          <w:vertAlign w:val="superscript"/>
          <w:lang w:val="en-AU" w:eastAsia="zh-CN" w:bidi="ar-SA"/>
        </w:rPr>
        <w:footnoteReference w:id="19"/>
      </w:r>
      <w:r w:rsidRPr="00C16486">
        <w:rPr>
          <w:rFonts w:ascii="Cambria" w:hAnsi="Cambria"/>
          <w:sz w:val="24"/>
          <w:szCs w:val="32"/>
          <w:lang w:val="en-AU" w:eastAsia="zh-CN" w:bidi="ar-SA"/>
        </w:rPr>
        <w:t xml:space="preserve"> and Zehr’s formulation of restorative justice supplies the corresponding normative content, namely that a wrong creates obligations to repair rather than merely deserts to be imposed.</w:t>
      </w:r>
      <w:r w:rsidRPr="00C16486">
        <w:rPr>
          <w:rFonts w:ascii="Cambria" w:hAnsi="Cambria"/>
          <w:sz w:val="24"/>
          <w:szCs w:val="32"/>
          <w:vertAlign w:val="superscript"/>
          <w:lang w:val="en-AU" w:eastAsia="zh-CN" w:bidi="ar-SA"/>
        </w:rPr>
        <w:footnoteReference w:id="20"/>
      </w:r>
      <w:r w:rsidRPr="00C16486">
        <w:rPr>
          <w:rFonts w:ascii="Cambria" w:hAnsi="Cambria"/>
          <w:sz w:val="24"/>
          <w:szCs w:val="32"/>
          <w:lang w:val="en-AU" w:eastAsia="zh-CN" w:bidi="ar-SA"/>
        </w:rPr>
        <w:t xml:space="preserve"> Read together, these instruments generate a testable proposition: if the royalty </w:t>
      </w:r>
      <w:r w:rsidRPr="00C16486">
        <w:rPr>
          <w:rFonts w:ascii="Cambria" w:hAnsi="Cambria"/>
          <w:sz w:val="24"/>
          <w:szCs w:val="32"/>
          <w:lang w:val="en-AU" w:eastAsia="zh-CN" w:bidi="ar-SA"/>
        </w:rPr>
        <w:lastRenderedPageBreak/>
        <w:t>regime possesses good substance but no credible apex, compliance will appear only where an apex is improvised, and it will not generalise.</w:t>
      </w:r>
    </w:p>
    <w:p w14:paraId="70D6AE2F" w14:textId="77777777" w:rsidR="00C16486" w:rsidRPr="00C16486" w:rsidRDefault="00C16486" w:rsidP="00C16486">
      <w:pPr>
        <w:spacing w:after="120"/>
        <w:jc w:val="both"/>
        <w:rPr>
          <w:rFonts w:ascii="Cambria" w:eastAsia="Cambria" w:hAnsi="Cambria" w:cs="Times New Roman"/>
          <w:sz w:val="24"/>
          <w:szCs w:val="24"/>
          <w:lang w:val="en-AU" w:eastAsia="en-AU" w:bidi="ar-SA"/>
        </w:rPr>
      </w:pPr>
      <w:r w:rsidRPr="00C16486">
        <w:rPr>
          <w:rFonts w:ascii="Cambria" w:eastAsia="Cambria" w:hAnsi="Cambria" w:cs="Times New Roman"/>
          <w:sz w:val="24"/>
          <w:szCs w:val="24"/>
          <w:lang w:val="en-AU" w:eastAsia="en-AU" w:bidi="ar-SA"/>
        </w:rPr>
        <w:t xml:space="preserve">The chronology matters more than the outcome, so it is set out in full before it is interpreted. Two corrections to the existing account are necessary at the outset. The settlement covered sixty-five outlets operated nationally by PT Mitra Bali </w:t>
      </w:r>
      <w:proofErr w:type="spellStart"/>
      <w:r w:rsidRPr="00C16486">
        <w:rPr>
          <w:rFonts w:ascii="Cambria" w:eastAsia="Cambria" w:hAnsi="Cambria" w:cs="Times New Roman"/>
          <w:sz w:val="24"/>
          <w:szCs w:val="24"/>
          <w:lang w:val="en-AU" w:eastAsia="en-AU" w:bidi="ar-SA"/>
        </w:rPr>
        <w:t>Sukses</w:t>
      </w:r>
      <w:proofErr w:type="spellEnd"/>
      <w:r w:rsidRPr="00C16486">
        <w:rPr>
          <w:rFonts w:ascii="Cambria" w:eastAsia="Cambria" w:hAnsi="Cambria" w:cs="Times New Roman"/>
          <w:sz w:val="24"/>
          <w:szCs w:val="24"/>
          <w:lang w:val="en-AU" w:eastAsia="en-AU" w:bidi="ar-SA"/>
        </w:rPr>
        <w:t>, not the several hundred that has circulated in secondary literature,</w:t>
      </w:r>
      <w:r w:rsidRPr="00C16486">
        <w:rPr>
          <w:rFonts w:ascii="Cambria" w:eastAsia="Cambria" w:hAnsi="Cambria" w:cs="Times New Roman"/>
          <w:sz w:val="24"/>
          <w:szCs w:val="24"/>
          <w:vertAlign w:val="superscript"/>
          <w:lang w:val="en-AU" w:eastAsia="en-AU" w:bidi="ar-SA"/>
        </w:rPr>
        <w:footnoteReference w:id="21"/>
      </w:r>
      <w:r w:rsidRPr="00C16486">
        <w:rPr>
          <w:rFonts w:ascii="Cambria" w:eastAsia="Cambria" w:hAnsi="Cambria" w:cs="Times New Roman"/>
          <w:sz w:val="24"/>
          <w:szCs w:val="24"/>
          <w:lang w:val="en-AU" w:eastAsia="en-AU" w:bidi="ar-SA"/>
        </w:rPr>
        <w:t xml:space="preserve"> and the sum was IDR 2,264,502,000 rather than a round two point two billion.</w:t>
      </w:r>
      <w:r w:rsidRPr="00C16486">
        <w:rPr>
          <w:rFonts w:ascii="Cambria" w:eastAsia="Cambria" w:hAnsi="Cambria" w:cs="Times New Roman"/>
          <w:sz w:val="24"/>
          <w:szCs w:val="24"/>
          <w:vertAlign w:val="superscript"/>
          <w:lang w:val="en-AU" w:eastAsia="en-AU" w:bidi="ar-SA"/>
        </w:rPr>
        <w:footnoteReference w:id="22"/>
      </w:r>
      <w:r w:rsidRPr="00C16486">
        <w:rPr>
          <w:rFonts w:ascii="Cambria" w:eastAsia="Cambria" w:hAnsi="Cambria" w:cs="Times New Roman"/>
          <w:sz w:val="24"/>
          <w:szCs w:val="24"/>
          <w:lang w:val="en-AU" w:eastAsia="en-AU" w:bidi="ar-SA"/>
        </w:rPr>
        <w:t xml:space="preserve"> Both corrections matter for the reconstruction that follows in the next subsection, because an error in the denominator propagates into every per-outlet inference.</w:t>
      </w:r>
    </w:p>
    <w:p w14:paraId="76E54099" w14:textId="77777777" w:rsidR="00C16486" w:rsidRPr="00C16486" w:rsidRDefault="00C16486" w:rsidP="00C16486">
      <w:pPr>
        <w:spacing w:before="200" w:after="80"/>
        <w:jc w:val="center"/>
        <w:rPr>
          <w:rFonts w:ascii="Cambria" w:eastAsia="Cambria" w:hAnsi="Cambria" w:cs="Times New Roman"/>
          <w:sz w:val="24"/>
          <w:szCs w:val="24"/>
          <w:lang w:val="en-AU" w:eastAsia="en-AU" w:bidi="ar-SA"/>
        </w:rPr>
      </w:pPr>
      <w:r w:rsidRPr="00C16486">
        <w:rPr>
          <w:rFonts w:ascii="Cambria" w:eastAsia="Cambria" w:hAnsi="Cambria" w:cs="Times New Roman"/>
          <w:b/>
          <w:bCs/>
          <w:sz w:val="24"/>
          <w:szCs w:val="24"/>
          <w:lang w:val="en-AU" w:eastAsia="en-AU" w:bidi="ar-SA"/>
        </w:rPr>
        <w:t>Table 1.</w:t>
      </w:r>
      <w:r w:rsidRPr="00C16486">
        <w:rPr>
          <w:rFonts w:ascii="Cambria" w:eastAsia="Cambria" w:hAnsi="Cambria" w:cs="Times New Roman"/>
          <w:sz w:val="24"/>
          <w:szCs w:val="24"/>
          <w:lang w:val="en-AU" w:eastAsia="en-AU" w:bidi="ar-SA"/>
        </w:rPr>
        <w:t xml:space="preserve"> Chronology of the SELMI–PT Mitra Bali </w:t>
      </w:r>
      <w:proofErr w:type="spellStart"/>
      <w:r w:rsidRPr="00C16486">
        <w:rPr>
          <w:rFonts w:ascii="Cambria" w:eastAsia="Cambria" w:hAnsi="Cambria" w:cs="Times New Roman"/>
          <w:sz w:val="24"/>
          <w:szCs w:val="24"/>
          <w:lang w:val="en-AU" w:eastAsia="en-AU" w:bidi="ar-SA"/>
        </w:rPr>
        <w:t>Sukses</w:t>
      </w:r>
      <w:proofErr w:type="spellEnd"/>
      <w:r w:rsidRPr="00C16486">
        <w:rPr>
          <w:rFonts w:ascii="Cambria" w:eastAsia="Cambria" w:hAnsi="Cambria" w:cs="Times New Roman"/>
          <w:sz w:val="24"/>
          <w:szCs w:val="24"/>
          <w:lang w:val="en-AU" w:eastAsia="en-AU" w:bidi="ar-SA"/>
        </w:rPr>
        <w:t xml:space="preserve"> Dispute</w:t>
      </w:r>
    </w:p>
    <w:tbl>
      <w:tblPr>
        <w:tblW w:w="9100" w:type="dxa"/>
        <w:tblBorders>
          <w:top w:val="single" w:sz="6" w:space="0" w:color="000000"/>
          <w:bottom w:val="single" w:sz="6" w:space="0" w:color="000000"/>
          <w:insideH w:val="single" w:sz="6" w:space="0" w:color="000000"/>
        </w:tblBorders>
        <w:tblCellMar>
          <w:left w:w="10" w:type="dxa"/>
          <w:right w:w="10" w:type="dxa"/>
        </w:tblCellMar>
        <w:tblLook w:val="04A0" w:firstRow="1" w:lastRow="0" w:firstColumn="1" w:lastColumn="0" w:noHBand="0" w:noVBand="1"/>
      </w:tblPr>
      <w:tblGrid>
        <w:gridCol w:w="1900"/>
        <w:gridCol w:w="3000"/>
        <w:gridCol w:w="4200"/>
      </w:tblGrid>
      <w:tr w:rsidR="00C16486" w:rsidRPr="00C16486" w14:paraId="1C59A2A4" w14:textId="77777777">
        <w:trPr>
          <w:tblHeader/>
        </w:trPr>
        <w:tc>
          <w:tcPr>
            <w:tcW w:w="1900" w:type="dxa"/>
            <w:tcBorders>
              <w:top w:val="single" w:sz="6" w:space="0" w:color="000000"/>
              <w:left w:val="nil"/>
              <w:bottom w:val="single" w:sz="6" w:space="0" w:color="000000"/>
              <w:right w:val="nil"/>
            </w:tcBorders>
            <w:tcMar>
              <w:top w:w="60" w:type="dxa"/>
              <w:left w:w="90" w:type="dxa"/>
              <w:bottom w:w="60" w:type="dxa"/>
              <w:right w:w="90" w:type="dxa"/>
            </w:tcMar>
            <w:hideMark/>
          </w:tcPr>
          <w:p w14:paraId="53EC33C7" w14:textId="77777777" w:rsidR="00C16486" w:rsidRPr="00C16486" w:rsidRDefault="00C16486" w:rsidP="00C16486">
            <w:pPr>
              <w:spacing w:after="0"/>
              <w:rPr>
                <w:rFonts w:ascii="Cambria" w:eastAsia="Cambria" w:hAnsi="Cambria" w:cs="Times New Roman"/>
                <w:sz w:val="24"/>
                <w:szCs w:val="24"/>
                <w:lang w:val="en-AU" w:eastAsia="en-AU" w:bidi="ar-SA"/>
              </w:rPr>
            </w:pPr>
            <w:r w:rsidRPr="00C16486">
              <w:rPr>
                <w:rFonts w:ascii="Cambria" w:eastAsia="Cambria" w:hAnsi="Cambria" w:cs="Times New Roman"/>
                <w:b/>
                <w:bCs/>
                <w:sz w:val="24"/>
                <w:szCs w:val="24"/>
                <w:lang w:val="en-AU" w:eastAsia="en-AU" w:bidi="ar-SA"/>
              </w:rPr>
              <w:t>Period</w:t>
            </w:r>
          </w:p>
        </w:tc>
        <w:tc>
          <w:tcPr>
            <w:tcW w:w="3000" w:type="dxa"/>
            <w:tcBorders>
              <w:top w:val="single" w:sz="6" w:space="0" w:color="000000"/>
              <w:left w:val="nil"/>
              <w:bottom w:val="single" w:sz="6" w:space="0" w:color="000000"/>
              <w:right w:val="nil"/>
            </w:tcBorders>
            <w:tcMar>
              <w:top w:w="60" w:type="dxa"/>
              <w:left w:w="90" w:type="dxa"/>
              <w:bottom w:w="60" w:type="dxa"/>
              <w:right w:w="90" w:type="dxa"/>
            </w:tcMar>
            <w:hideMark/>
          </w:tcPr>
          <w:p w14:paraId="278B3F6C" w14:textId="77777777" w:rsidR="00C16486" w:rsidRPr="00C16486" w:rsidRDefault="00C16486" w:rsidP="00C16486">
            <w:pPr>
              <w:spacing w:after="0"/>
              <w:rPr>
                <w:rFonts w:ascii="Cambria" w:eastAsia="Cambria" w:hAnsi="Cambria" w:cs="Times New Roman"/>
                <w:sz w:val="24"/>
                <w:szCs w:val="24"/>
                <w:lang w:val="en-AU" w:eastAsia="en-AU" w:bidi="ar-SA"/>
              </w:rPr>
            </w:pPr>
            <w:r w:rsidRPr="00C16486">
              <w:rPr>
                <w:rFonts w:ascii="Cambria" w:eastAsia="Cambria" w:hAnsi="Cambria" w:cs="Times New Roman"/>
                <w:b/>
                <w:bCs/>
                <w:sz w:val="24"/>
                <w:szCs w:val="24"/>
                <w:lang w:val="en-AU" w:eastAsia="en-AU" w:bidi="ar-SA"/>
              </w:rPr>
              <w:t>Event</w:t>
            </w:r>
          </w:p>
        </w:tc>
        <w:tc>
          <w:tcPr>
            <w:tcW w:w="4200" w:type="dxa"/>
            <w:tcBorders>
              <w:top w:val="single" w:sz="6" w:space="0" w:color="000000"/>
              <w:left w:val="nil"/>
              <w:bottom w:val="single" w:sz="6" w:space="0" w:color="000000"/>
              <w:right w:val="nil"/>
            </w:tcBorders>
            <w:tcMar>
              <w:top w:w="60" w:type="dxa"/>
              <w:left w:w="90" w:type="dxa"/>
              <w:bottom w:w="60" w:type="dxa"/>
              <w:right w:w="90" w:type="dxa"/>
            </w:tcMar>
            <w:hideMark/>
          </w:tcPr>
          <w:p w14:paraId="240CDBD1" w14:textId="77777777" w:rsidR="00C16486" w:rsidRPr="00C16486" w:rsidRDefault="00C16486" w:rsidP="00C16486">
            <w:pPr>
              <w:spacing w:after="0"/>
              <w:rPr>
                <w:rFonts w:ascii="Cambria" w:eastAsia="Cambria" w:hAnsi="Cambria" w:cs="Times New Roman"/>
                <w:sz w:val="24"/>
                <w:szCs w:val="24"/>
                <w:lang w:val="en-AU" w:eastAsia="en-AU" w:bidi="ar-SA"/>
              </w:rPr>
            </w:pPr>
            <w:r w:rsidRPr="00C16486">
              <w:rPr>
                <w:rFonts w:ascii="Cambria" w:eastAsia="Cambria" w:hAnsi="Cambria" w:cs="Times New Roman"/>
                <w:b/>
                <w:bCs/>
                <w:sz w:val="24"/>
                <w:szCs w:val="24"/>
                <w:lang w:val="en-AU" w:eastAsia="en-AU" w:bidi="ar-SA"/>
              </w:rPr>
              <w:t>Legal significance</w:t>
            </w:r>
          </w:p>
        </w:tc>
      </w:tr>
      <w:tr w:rsidR="00C16486" w:rsidRPr="00C16486" w14:paraId="23EBBFE6" w14:textId="77777777">
        <w:tc>
          <w:tcPr>
            <w:tcW w:w="1900" w:type="dxa"/>
            <w:tcBorders>
              <w:top w:val="single" w:sz="6" w:space="0" w:color="000000"/>
              <w:left w:val="nil"/>
              <w:bottom w:val="single" w:sz="6" w:space="0" w:color="000000"/>
              <w:right w:val="nil"/>
            </w:tcBorders>
            <w:tcMar>
              <w:top w:w="60" w:type="dxa"/>
              <w:left w:w="90" w:type="dxa"/>
              <w:bottom w:w="60" w:type="dxa"/>
              <w:right w:w="90" w:type="dxa"/>
            </w:tcMar>
            <w:hideMark/>
          </w:tcPr>
          <w:p w14:paraId="35C12C85" w14:textId="77777777" w:rsidR="00C16486" w:rsidRPr="00C16486" w:rsidRDefault="00C16486" w:rsidP="00C16486">
            <w:pPr>
              <w:spacing w:after="0"/>
              <w:rPr>
                <w:rFonts w:ascii="Cambria" w:eastAsia="Cambria" w:hAnsi="Cambria" w:cs="Times New Roman"/>
                <w:sz w:val="24"/>
                <w:szCs w:val="24"/>
                <w:lang w:val="en-AU" w:eastAsia="en-AU" w:bidi="ar-SA"/>
              </w:rPr>
            </w:pPr>
            <w:r w:rsidRPr="00C16486">
              <w:rPr>
                <w:rFonts w:ascii="Cambria" w:eastAsia="Cambria" w:hAnsi="Cambria" w:cs="Times New Roman"/>
                <w:sz w:val="24"/>
                <w:szCs w:val="24"/>
                <w:lang w:val="en-AU" w:eastAsia="en-AU" w:bidi="ar-SA"/>
              </w:rPr>
              <w:t>From 2022</w:t>
            </w:r>
          </w:p>
        </w:tc>
        <w:tc>
          <w:tcPr>
            <w:tcW w:w="3000" w:type="dxa"/>
            <w:tcBorders>
              <w:top w:val="single" w:sz="6" w:space="0" w:color="000000"/>
              <w:left w:val="nil"/>
              <w:bottom w:val="single" w:sz="6" w:space="0" w:color="000000"/>
              <w:right w:val="nil"/>
            </w:tcBorders>
            <w:tcMar>
              <w:top w:w="60" w:type="dxa"/>
              <w:left w:w="90" w:type="dxa"/>
              <w:bottom w:w="60" w:type="dxa"/>
              <w:right w:w="90" w:type="dxa"/>
            </w:tcMar>
            <w:hideMark/>
          </w:tcPr>
          <w:p w14:paraId="4ED5B3F8" w14:textId="77777777" w:rsidR="00C16486" w:rsidRPr="00C16486" w:rsidRDefault="00C16486" w:rsidP="00C16486">
            <w:pPr>
              <w:spacing w:after="0"/>
              <w:jc w:val="both"/>
              <w:rPr>
                <w:rFonts w:ascii="Cambria" w:eastAsia="Cambria" w:hAnsi="Cambria" w:cs="Times New Roman"/>
                <w:sz w:val="24"/>
                <w:szCs w:val="24"/>
                <w:lang w:val="en-AU" w:eastAsia="en-AU" w:bidi="ar-SA"/>
              </w:rPr>
            </w:pPr>
            <w:r w:rsidRPr="00C16486">
              <w:rPr>
                <w:rFonts w:ascii="Cambria" w:eastAsia="Cambria" w:hAnsi="Cambria" w:cs="Times New Roman"/>
                <w:sz w:val="24"/>
                <w:szCs w:val="24"/>
                <w:lang w:val="en-AU" w:eastAsia="en-AU" w:bidi="ar-SA"/>
              </w:rPr>
              <w:t>Songs played across outlets without a licence; collection efforts and socialisation initiated by the collective management organisation</w:t>
            </w:r>
          </w:p>
        </w:tc>
        <w:tc>
          <w:tcPr>
            <w:tcW w:w="4200" w:type="dxa"/>
            <w:tcBorders>
              <w:top w:val="single" w:sz="6" w:space="0" w:color="000000"/>
              <w:left w:val="nil"/>
              <w:bottom w:val="single" w:sz="6" w:space="0" w:color="000000"/>
              <w:right w:val="nil"/>
            </w:tcBorders>
            <w:tcMar>
              <w:top w:w="60" w:type="dxa"/>
              <w:left w:w="90" w:type="dxa"/>
              <w:bottom w:w="60" w:type="dxa"/>
              <w:right w:w="90" w:type="dxa"/>
            </w:tcMar>
            <w:hideMark/>
          </w:tcPr>
          <w:p w14:paraId="77662022" w14:textId="77777777" w:rsidR="00C16486" w:rsidRPr="00C16486" w:rsidRDefault="00C16486" w:rsidP="00C16486">
            <w:pPr>
              <w:spacing w:after="0"/>
              <w:jc w:val="both"/>
              <w:rPr>
                <w:rFonts w:ascii="Cambria" w:eastAsia="Cambria" w:hAnsi="Cambria" w:cs="Times New Roman"/>
                <w:sz w:val="24"/>
                <w:szCs w:val="24"/>
                <w:lang w:val="en-AU" w:eastAsia="en-AU" w:bidi="ar-SA"/>
              </w:rPr>
            </w:pPr>
            <w:r w:rsidRPr="00C16486">
              <w:rPr>
                <w:rFonts w:ascii="Cambria" w:eastAsia="Cambria" w:hAnsi="Cambria" w:cs="Times New Roman"/>
                <w:sz w:val="24"/>
                <w:szCs w:val="24"/>
                <w:lang w:val="en-AU" w:eastAsia="en-AU" w:bidi="ar-SA"/>
              </w:rPr>
              <w:t>Accrual of royalty debt; commencement of non-litigation stage</w:t>
            </w:r>
          </w:p>
        </w:tc>
      </w:tr>
      <w:tr w:rsidR="00C16486" w:rsidRPr="00C16486" w14:paraId="00A5DEFF" w14:textId="77777777">
        <w:tc>
          <w:tcPr>
            <w:tcW w:w="1900" w:type="dxa"/>
            <w:tcBorders>
              <w:top w:val="single" w:sz="6" w:space="0" w:color="000000"/>
              <w:left w:val="nil"/>
              <w:bottom w:val="single" w:sz="6" w:space="0" w:color="000000"/>
              <w:right w:val="nil"/>
            </w:tcBorders>
            <w:tcMar>
              <w:top w:w="60" w:type="dxa"/>
              <w:left w:w="90" w:type="dxa"/>
              <w:bottom w:w="60" w:type="dxa"/>
              <w:right w:w="90" w:type="dxa"/>
            </w:tcMar>
            <w:hideMark/>
          </w:tcPr>
          <w:p w14:paraId="262DA4A9" w14:textId="77777777" w:rsidR="00C16486" w:rsidRPr="00C16486" w:rsidRDefault="00C16486" w:rsidP="00C16486">
            <w:pPr>
              <w:spacing w:after="0"/>
              <w:rPr>
                <w:rFonts w:ascii="Cambria" w:eastAsia="Cambria" w:hAnsi="Cambria" w:cs="Times New Roman"/>
                <w:sz w:val="24"/>
                <w:szCs w:val="24"/>
                <w:lang w:val="en-AU" w:eastAsia="en-AU" w:bidi="ar-SA"/>
              </w:rPr>
            </w:pPr>
            <w:r w:rsidRPr="00C16486">
              <w:rPr>
                <w:rFonts w:ascii="Cambria" w:eastAsia="Cambria" w:hAnsi="Cambria" w:cs="Times New Roman"/>
                <w:sz w:val="24"/>
                <w:szCs w:val="24"/>
                <w:lang w:val="en-AU" w:eastAsia="en-AU" w:bidi="ar-SA"/>
              </w:rPr>
              <w:t>2022 – mid-2024</w:t>
            </w:r>
          </w:p>
        </w:tc>
        <w:tc>
          <w:tcPr>
            <w:tcW w:w="3000" w:type="dxa"/>
            <w:tcBorders>
              <w:top w:val="single" w:sz="6" w:space="0" w:color="000000"/>
              <w:left w:val="nil"/>
              <w:bottom w:val="single" w:sz="6" w:space="0" w:color="000000"/>
              <w:right w:val="nil"/>
            </w:tcBorders>
            <w:tcMar>
              <w:top w:w="60" w:type="dxa"/>
              <w:left w:w="90" w:type="dxa"/>
              <w:bottom w:w="60" w:type="dxa"/>
              <w:right w:w="90" w:type="dxa"/>
            </w:tcMar>
            <w:hideMark/>
          </w:tcPr>
          <w:p w14:paraId="4012B386" w14:textId="77777777" w:rsidR="00C16486" w:rsidRPr="00C16486" w:rsidRDefault="00C16486" w:rsidP="00C16486">
            <w:pPr>
              <w:spacing w:after="0"/>
              <w:jc w:val="both"/>
              <w:rPr>
                <w:rFonts w:ascii="Cambria" w:eastAsia="Cambria" w:hAnsi="Cambria" w:cs="Times New Roman"/>
                <w:sz w:val="24"/>
                <w:szCs w:val="24"/>
                <w:lang w:val="en-AU" w:eastAsia="en-AU" w:bidi="ar-SA"/>
              </w:rPr>
            </w:pPr>
            <w:r w:rsidRPr="00C16486">
              <w:rPr>
                <w:rFonts w:ascii="Cambria" w:eastAsia="Cambria" w:hAnsi="Cambria" w:cs="Times New Roman"/>
                <w:sz w:val="24"/>
                <w:szCs w:val="24"/>
                <w:lang w:val="en-AU" w:eastAsia="en-AU" w:bidi="ar-SA"/>
              </w:rPr>
              <w:t>Persuasive communication and negotiation produce no payment</w:t>
            </w:r>
          </w:p>
        </w:tc>
        <w:tc>
          <w:tcPr>
            <w:tcW w:w="4200" w:type="dxa"/>
            <w:tcBorders>
              <w:top w:val="single" w:sz="6" w:space="0" w:color="000000"/>
              <w:left w:val="nil"/>
              <w:bottom w:val="single" w:sz="6" w:space="0" w:color="000000"/>
              <w:right w:val="nil"/>
            </w:tcBorders>
            <w:tcMar>
              <w:top w:w="60" w:type="dxa"/>
              <w:left w:w="90" w:type="dxa"/>
              <w:bottom w:w="60" w:type="dxa"/>
              <w:right w:w="90" w:type="dxa"/>
            </w:tcMar>
            <w:hideMark/>
          </w:tcPr>
          <w:p w14:paraId="287DE423" w14:textId="77777777" w:rsidR="00C16486" w:rsidRPr="00C16486" w:rsidRDefault="00C16486" w:rsidP="00C16486">
            <w:pPr>
              <w:spacing w:after="0"/>
              <w:jc w:val="both"/>
              <w:rPr>
                <w:rFonts w:ascii="Cambria" w:eastAsia="Cambria" w:hAnsi="Cambria" w:cs="Times New Roman"/>
                <w:sz w:val="24"/>
                <w:szCs w:val="24"/>
                <w:lang w:val="en-AU" w:eastAsia="en-AU" w:bidi="ar-SA"/>
              </w:rPr>
            </w:pPr>
            <w:r w:rsidRPr="00C16486">
              <w:rPr>
                <w:rFonts w:ascii="Cambria" w:eastAsia="Cambria" w:hAnsi="Cambria" w:cs="Times New Roman"/>
                <w:sz w:val="24"/>
                <w:szCs w:val="24"/>
                <w:lang w:val="en-AU" w:eastAsia="en-AU" w:bidi="ar-SA"/>
              </w:rPr>
              <w:t>Failure of the base of the enforcement pyramid</w:t>
            </w:r>
          </w:p>
        </w:tc>
      </w:tr>
      <w:tr w:rsidR="00C16486" w:rsidRPr="00C16486" w14:paraId="64B9F6EC" w14:textId="77777777">
        <w:tc>
          <w:tcPr>
            <w:tcW w:w="1900" w:type="dxa"/>
            <w:tcBorders>
              <w:top w:val="single" w:sz="6" w:space="0" w:color="000000"/>
              <w:left w:val="nil"/>
              <w:bottom w:val="single" w:sz="6" w:space="0" w:color="000000"/>
              <w:right w:val="nil"/>
            </w:tcBorders>
            <w:tcMar>
              <w:top w:w="60" w:type="dxa"/>
              <w:left w:w="90" w:type="dxa"/>
              <w:bottom w:w="60" w:type="dxa"/>
              <w:right w:w="90" w:type="dxa"/>
            </w:tcMar>
            <w:hideMark/>
          </w:tcPr>
          <w:p w14:paraId="76688CAA" w14:textId="77777777" w:rsidR="00C16486" w:rsidRPr="00C16486" w:rsidRDefault="00C16486" w:rsidP="00C16486">
            <w:pPr>
              <w:spacing w:after="0"/>
              <w:rPr>
                <w:rFonts w:ascii="Cambria" w:eastAsia="Cambria" w:hAnsi="Cambria" w:cs="Times New Roman"/>
                <w:sz w:val="24"/>
                <w:szCs w:val="24"/>
                <w:lang w:val="en-AU" w:eastAsia="en-AU" w:bidi="ar-SA"/>
              </w:rPr>
            </w:pPr>
            <w:r w:rsidRPr="00C16486">
              <w:rPr>
                <w:rFonts w:ascii="Cambria" w:eastAsia="Cambria" w:hAnsi="Cambria" w:cs="Times New Roman"/>
                <w:sz w:val="24"/>
                <w:szCs w:val="24"/>
                <w:lang w:val="en-AU" w:eastAsia="en-AU" w:bidi="ar-SA"/>
              </w:rPr>
              <w:t>Late 2024</w:t>
            </w:r>
          </w:p>
        </w:tc>
        <w:tc>
          <w:tcPr>
            <w:tcW w:w="3000" w:type="dxa"/>
            <w:tcBorders>
              <w:top w:val="single" w:sz="6" w:space="0" w:color="000000"/>
              <w:left w:val="nil"/>
              <w:bottom w:val="single" w:sz="6" w:space="0" w:color="000000"/>
              <w:right w:val="nil"/>
            </w:tcBorders>
            <w:tcMar>
              <w:top w:w="60" w:type="dxa"/>
              <w:left w:w="90" w:type="dxa"/>
              <w:bottom w:w="60" w:type="dxa"/>
              <w:right w:w="90" w:type="dxa"/>
            </w:tcMar>
            <w:hideMark/>
          </w:tcPr>
          <w:p w14:paraId="23E94029" w14:textId="77777777" w:rsidR="00C16486" w:rsidRPr="00C16486" w:rsidRDefault="00C16486" w:rsidP="00C16486">
            <w:pPr>
              <w:spacing w:after="0"/>
              <w:jc w:val="both"/>
              <w:rPr>
                <w:rFonts w:ascii="Cambria" w:eastAsia="Cambria" w:hAnsi="Cambria" w:cs="Times New Roman"/>
                <w:sz w:val="24"/>
                <w:szCs w:val="24"/>
                <w:lang w:val="en-AU" w:eastAsia="en-AU" w:bidi="ar-SA"/>
              </w:rPr>
            </w:pPr>
            <w:r w:rsidRPr="00C16486">
              <w:rPr>
                <w:rFonts w:ascii="Cambria" w:eastAsia="Cambria" w:hAnsi="Cambria" w:cs="Times New Roman"/>
                <w:sz w:val="24"/>
                <w:szCs w:val="24"/>
                <w:lang w:val="en-AU" w:eastAsia="en-AU" w:bidi="ar-SA"/>
              </w:rPr>
              <w:t>Formal demand letters issued</w:t>
            </w:r>
          </w:p>
        </w:tc>
        <w:tc>
          <w:tcPr>
            <w:tcW w:w="4200" w:type="dxa"/>
            <w:tcBorders>
              <w:top w:val="single" w:sz="6" w:space="0" w:color="000000"/>
              <w:left w:val="nil"/>
              <w:bottom w:val="single" w:sz="6" w:space="0" w:color="000000"/>
              <w:right w:val="nil"/>
            </w:tcBorders>
            <w:tcMar>
              <w:top w:w="60" w:type="dxa"/>
              <w:left w:w="90" w:type="dxa"/>
              <w:bottom w:w="60" w:type="dxa"/>
              <w:right w:w="90" w:type="dxa"/>
            </w:tcMar>
            <w:hideMark/>
          </w:tcPr>
          <w:p w14:paraId="464F2136" w14:textId="77777777" w:rsidR="00C16486" w:rsidRPr="00C16486" w:rsidRDefault="00C16486" w:rsidP="00C16486">
            <w:pPr>
              <w:spacing w:after="0"/>
              <w:jc w:val="both"/>
              <w:rPr>
                <w:rFonts w:ascii="Cambria" w:eastAsia="Cambria" w:hAnsi="Cambria" w:cs="Times New Roman"/>
                <w:sz w:val="24"/>
                <w:szCs w:val="24"/>
                <w:lang w:val="en-AU" w:eastAsia="en-AU" w:bidi="ar-SA"/>
              </w:rPr>
            </w:pPr>
            <w:r w:rsidRPr="00C16486">
              <w:rPr>
                <w:rFonts w:ascii="Cambria" w:eastAsia="Cambria" w:hAnsi="Cambria" w:cs="Times New Roman"/>
                <w:sz w:val="24"/>
                <w:szCs w:val="24"/>
                <w:lang w:val="en-AU" w:eastAsia="en-AU" w:bidi="ar-SA"/>
              </w:rPr>
              <w:t>Final pre-litigation step</w:t>
            </w:r>
          </w:p>
        </w:tc>
      </w:tr>
      <w:tr w:rsidR="00C16486" w:rsidRPr="00C16486" w14:paraId="19301FEB" w14:textId="77777777">
        <w:tc>
          <w:tcPr>
            <w:tcW w:w="1900" w:type="dxa"/>
            <w:tcBorders>
              <w:top w:val="single" w:sz="6" w:space="0" w:color="000000"/>
              <w:left w:val="nil"/>
              <w:bottom w:val="single" w:sz="6" w:space="0" w:color="000000"/>
              <w:right w:val="nil"/>
            </w:tcBorders>
            <w:tcMar>
              <w:top w:w="60" w:type="dxa"/>
              <w:left w:w="90" w:type="dxa"/>
              <w:bottom w:w="60" w:type="dxa"/>
              <w:right w:w="90" w:type="dxa"/>
            </w:tcMar>
            <w:hideMark/>
          </w:tcPr>
          <w:p w14:paraId="4D42A190" w14:textId="77777777" w:rsidR="00C16486" w:rsidRPr="00C16486" w:rsidRDefault="00C16486" w:rsidP="00C16486">
            <w:pPr>
              <w:spacing w:after="0"/>
              <w:rPr>
                <w:rFonts w:ascii="Cambria" w:eastAsia="Cambria" w:hAnsi="Cambria" w:cs="Times New Roman"/>
                <w:sz w:val="24"/>
                <w:szCs w:val="24"/>
                <w:lang w:val="en-AU" w:eastAsia="en-AU" w:bidi="ar-SA"/>
              </w:rPr>
            </w:pPr>
            <w:r w:rsidRPr="00C16486">
              <w:rPr>
                <w:rFonts w:ascii="Cambria" w:eastAsia="Cambria" w:hAnsi="Cambria" w:cs="Times New Roman"/>
                <w:sz w:val="24"/>
                <w:szCs w:val="24"/>
                <w:lang w:val="en-AU" w:eastAsia="en-AU" w:bidi="ar-SA"/>
              </w:rPr>
              <w:t>26 August 2024</w:t>
            </w:r>
          </w:p>
        </w:tc>
        <w:tc>
          <w:tcPr>
            <w:tcW w:w="3000" w:type="dxa"/>
            <w:tcBorders>
              <w:top w:val="single" w:sz="6" w:space="0" w:color="000000"/>
              <w:left w:val="nil"/>
              <w:bottom w:val="single" w:sz="6" w:space="0" w:color="000000"/>
              <w:right w:val="nil"/>
            </w:tcBorders>
            <w:tcMar>
              <w:top w:w="60" w:type="dxa"/>
              <w:left w:w="90" w:type="dxa"/>
              <w:bottom w:w="60" w:type="dxa"/>
              <w:right w:w="90" w:type="dxa"/>
            </w:tcMar>
            <w:hideMark/>
          </w:tcPr>
          <w:p w14:paraId="103CE563" w14:textId="77777777" w:rsidR="00C16486" w:rsidRPr="00C16486" w:rsidRDefault="00C16486" w:rsidP="00C16486">
            <w:pPr>
              <w:spacing w:after="0"/>
              <w:jc w:val="both"/>
              <w:rPr>
                <w:rFonts w:ascii="Cambria" w:eastAsia="Cambria" w:hAnsi="Cambria" w:cs="Times New Roman"/>
                <w:sz w:val="24"/>
                <w:szCs w:val="24"/>
                <w:lang w:val="en-AU" w:eastAsia="en-AU" w:bidi="ar-SA"/>
              </w:rPr>
            </w:pPr>
            <w:r w:rsidRPr="00C16486">
              <w:rPr>
                <w:rFonts w:ascii="Cambria" w:eastAsia="Cambria" w:hAnsi="Cambria" w:cs="Times New Roman"/>
                <w:sz w:val="24"/>
                <w:szCs w:val="24"/>
                <w:lang w:val="en-AU" w:eastAsia="en-AU" w:bidi="ar-SA"/>
              </w:rPr>
              <w:t>Complaint lodged with the Bali Regional Police</w:t>
            </w:r>
          </w:p>
        </w:tc>
        <w:tc>
          <w:tcPr>
            <w:tcW w:w="4200" w:type="dxa"/>
            <w:tcBorders>
              <w:top w:val="single" w:sz="6" w:space="0" w:color="000000"/>
              <w:left w:val="nil"/>
              <w:bottom w:val="single" w:sz="6" w:space="0" w:color="000000"/>
              <w:right w:val="nil"/>
            </w:tcBorders>
            <w:tcMar>
              <w:top w:w="60" w:type="dxa"/>
              <w:left w:w="90" w:type="dxa"/>
              <w:bottom w:w="60" w:type="dxa"/>
              <w:right w:w="90" w:type="dxa"/>
            </w:tcMar>
            <w:hideMark/>
          </w:tcPr>
          <w:p w14:paraId="0B38B2CD" w14:textId="77777777" w:rsidR="00C16486" w:rsidRPr="00C16486" w:rsidRDefault="00C16486" w:rsidP="00C16486">
            <w:pPr>
              <w:spacing w:after="0"/>
              <w:jc w:val="both"/>
              <w:rPr>
                <w:rFonts w:ascii="Cambria" w:eastAsia="Cambria" w:hAnsi="Cambria" w:cs="Times New Roman"/>
                <w:sz w:val="24"/>
                <w:szCs w:val="24"/>
                <w:lang w:val="en-AU" w:eastAsia="en-AU" w:bidi="ar-SA"/>
              </w:rPr>
            </w:pPr>
            <w:r w:rsidRPr="00C16486">
              <w:rPr>
                <w:rFonts w:ascii="Cambria" w:eastAsia="Cambria" w:hAnsi="Cambria" w:cs="Times New Roman"/>
                <w:sz w:val="24"/>
                <w:szCs w:val="24"/>
                <w:lang w:val="en-AU" w:eastAsia="en-AU" w:bidi="ar-SA"/>
              </w:rPr>
              <w:t>Activation of the complaint-offence mechanism</w:t>
            </w:r>
          </w:p>
        </w:tc>
      </w:tr>
      <w:tr w:rsidR="00C16486" w:rsidRPr="00C16486" w14:paraId="7ADAE328" w14:textId="77777777">
        <w:tc>
          <w:tcPr>
            <w:tcW w:w="1900" w:type="dxa"/>
            <w:tcBorders>
              <w:top w:val="single" w:sz="6" w:space="0" w:color="000000"/>
              <w:left w:val="nil"/>
              <w:bottom w:val="single" w:sz="6" w:space="0" w:color="000000"/>
              <w:right w:val="nil"/>
            </w:tcBorders>
            <w:tcMar>
              <w:top w:w="60" w:type="dxa"/>
              <w:left w:w="90" w:type="dxa"/>
              <w:bottom w:w="60" w:type="dxa"/>
              <w:right w:w="90" w:type="dxa"/>
            </w:tcMar>
            <w:hideMark/>
          </w:tcPr>
          <w:p w14:paraId="66452BBF" w14:textId="77777777" w:rsidR="00C16486" w:rsidRPr="00C16486" w:rsidRDefault="00C16486" w:rsidP="00C16486">
            <w:pPr>
              <w:spacing w:after="0"/>
              <w:rPr>
                <w:rFonts w:ascii="Cambria" w:eastAsia="Cambria" w:hAnsi="Cambria" w:cs="Times New Roman"/>
                <w:sz w:val="24"/>
                <w:szCs w:val="24"/>
                <w:lang w:val="en-AU" w:eastAsia="en-AU" w:bidi="ar-SA"/>
              </w:rPr>
            </w:pPr>
            <w:r w:rsidRPr="00C16486">
              <w:rPr>
                <w:rFonts w:ascii="Cambria" w:eastAsia="Cambria" w:hAnsi="Cambria" w:cs="Times New Roman"/>
                <w:sz w:val="24"/>
                <w:szCs w:val="24"/>
                <w:lang w:val="en-AU" w:eastAsia="en-AU" w:bidi="ar-SA"/>
              </w:rPr>
              <w:t>20 January 2025</w:t>
            </w:r>
          </w:p>
        </w:tc>
        <w:tc>
          <w:tcPr>
            <w:tcW w:w="3000" w:type="dxa"/>
            <w:tcBorders>
              <w:top w:val="single" w:sz="6" w:space="0" w:color="000000"/>
              <w:left w:val="nil"/>
              <w:bottom w:val="single" w:sz="6" w:space="0" w:color="000000"/>
              <w:right w:val="nil"/>
            </w:tcBorders>
            <w:tcMar>
              <w:top w:w="60" w:type="dxa"/>
              <w:left w:w="90" w:type="dxa"/>
              <w:bottom w:w="60" w:type="dxa"/>
              <w:right w:w="90" w:type="dxa"/>
            </w:tcMar>
            <w:hideMark/>
          </w:tcPr>
          <w:p w14:paraId="06AC3321" w14:textId="77777777" w:rsidR="00C16486" w:rsidRPr="00C16486" w:rsidRDefault="00C16486" w:rsidP="00C16486">
            <w:pPr>
              <w:spacing w:after="0"/>
              <w:jc w:val="both"/>
              <w:rPr>
                <w:rFonts w:ascii="Cambria" w:eastAsia="Cambria" w:hAnsi="Cambria" w:cs="Times New Roman"/>
                <w:sz w:val="24"/>
                <w:szCs w:val="24"/>
                <w:lang w:val="en-AU" w:eastAsia="en-AU" w:bidi="ar-SA"/>
              </w:rPr>
            </w:pPr>
            <w:r w:rsidRPr="00C16486">
              <w:rPr>
                <w:rFonts w:ascii="Cambria" w:eastAsia="Cambria" w:hAnsi="Cambria" w:cs="Times New Roman"/>
                <w:sz w:val="24"/>
                <w:szCs w:val="24"/>
                <w:lang w:val="en-AU" w:eastAsia="en-AU" w:bidi="ar-SA"/>
              </w:rPr>
              <w:t>Police report registered; investigation opened</w:t>
            </w:r>
          </w:p>
        </w:tc>
        <w:tc>
          <w:tcPr>
            <w:tcW w:w="4200" w:type="dxa"/>
            <w:tcBorders>
              <w:top w:val="single" w:sz="6" w:space="0" w:color="000000"/>
              <w:left w:val="nil"/>
              <w:bottom w:val="single" w:sz="6" w:space="0" w:color="000000"/>
              <w:right w:val="nil"/>
            </w:tcBorders>
            <w:tcMar>
              <w:top w:w="60" w:type="dxa"/>
              <w:left w:w="90" w:type="dxa"/>
              <w:bottom w:w="60" w:type="dxa"/>
              <w:right w:w="90" w:type="dxa"/>
            </w:tcMar>
            <w:hideMark/>
          </w:tcPr>
          <w:p w14:paraId="17322C51" w14:textId="77777777" w:rsidR="00C16486" w:rsidRPr="00C16486" w:rsidRDefault="00C16486" w:rsidP="00C16486">
            <w:pPr>
              <w:spacing w:after="0"/>
              <w:jc w:val="both"/>
              <w:rPr>
                <w:rFonts w:ascii="Cambria" w:eastAsia="Cambria" w:hAnsi="Cambria" w:cs="Times New Roman"/>
                <w:sz w:val="24"/>
                <w:szCs w:val="24"/>
                <w:lang w:val="en-AU" w:eastAsia="en-AU" w:bidi="ar-SA"/>
              </w:rPr>
            </w:pPr>
            <w:r w:rsidRPr="00C16486">
              <w:rPr>
                <w:rFonts w:ascii="Cambria" w:eastAsia="Cambria" w:hAnsi="Cambria" w:cs="Times New Roman"/>
                <w:sz w:val="24"/>
                <w:szCs w:val="24"/>
                <w:lang w:val="en-AU" w:eastAsia="en-AU" w:bidi="ar-SA"/>
              </w:rPr>
              <w:t>Escalation to the apex of the pyramid</w:t>
            </w:r>
          </w:p>
        </w:tc>
      </w:tr>
      <w:tr w:rsidR="00C16486" w:rsidRPr="00C16486" w14:paraId="7CD2673F" w14:textId="77777777">
        <w:tc>
          <w:tcPr>
            <w:tcW w:w="1900" w:type="dxa"/>
            <w:tcBorders>
              <w:top w:val="single" w:sz="6" w:space="0" w:color="000000"/>
              <w:left w:val="nil"/>
              <w:bottom w:val="single" w:sz="6" w:space="0" w:color="000000"/>
              <w:right w:val="nil"/>
            </w:tcBorders>
            <w:tcMar>
              <w:top w:w="60" w:type="dxa"/>
              <w:left w:w="90" w:type="dxa"/>
              <w:bottom w:w="60" w:type="dxa"/>
              <w:right w:w="90" w:type="dxa"/>
            </w:tcMar>
            <w:hideMark/>
          </w:tcPr>
          <w:p w14:paraId="3A497D87" w14:textId="77777777" w:rsidR="00C16486" w:rsidRPr="00C16486" w:rsidRDefault="00C16486" w:rsidP="00C16486">
            <w:pPr>
              <w:spacing w:after="0"/>
              <w:rPr>
                <w:rFonts w:ascii="Cambria" w:eastAsia="Cambria" w:hAnsi="Cambria" w:cs="Times New Roman"/>
                <w:sz w:val="24"/>
                <w:szCs w:val="24"/>
                <w:lang w:val="en-AU" w:eastAsia="en-AU" w:bidi="ar-SA"/>
              </w:rPr>
            </w:pPr>
            <w:r w:rsidRPr="00C16486">
              <w:rPr>
                <w:rFonts w:ascii="Cambria" w:eastAsia="Cambria" w:hAnsi="Cambria" w:cs="Times New Roman"/>
                <w:sz w:val="24"/>
                <w:szCs w:val="24"/>
                <w:lang w:val="en-AU" w:eastAsia="en-AU" w:bidi="ar-SA"/>
              </w:rPr>
              <w:t>Early 2025</w:t>
            </w:r>
          </w:p>
        </w:tc>
        <w:tc>
          <w:tcPr>
            <w:tcW w:w="3000" w:type="dxa"/>
            <w:tcBorders>
              <w:top w:val="single" w:sz="6" w:space="0" w:color="000000"/>
              <w:left w:val="nil"/>
              <w:bottom w:val="single" w:sz="6" w:space="0" w:color="000000"/>
              <w:right w:val="nil"/>
            </w:tcBorders>
            <w:tcMar>
              <w:top w:w="60" w:type="dxa"/>
              <w:left w:w="90" w:type="dxa"/>
              <w:bottom w:w="60" w:type="dxa"/>
              <w:right w:w="90" w:type="dxa"/>
            </w:tcMar>
            <w:hideMark/>
          </w:tcPr>
          <w:p w14:paraId="30617198" w14:textId="77777777" w:rsidR="00C16486" w:rsidRPr="00C16486" w:rsidRDefault="00C16486" w:rsidP="00C16486">
            <w:pPr>
              <w:spacing w:after="0"/>
              <w:jc w:val="both"/>
              <w:rPr>
                <w:rFonts w:ascii="Cambria" w:eastAsia="Cambria" w:hAnsi="Cambria" w:cs="Times New Roman"/>
                <w:sz w:val="24"/>
                <w:szCs w:val="24"/>
                <w:lang w:val="en-AU" w:eastAsia="en-AU" w:bidi="ar-SA"/>
              </w:rPr>
            </w:pPr>
            <w:r w:rsidRPr="00C16486">
              <w:rPr>
                <w:rFonts w:ascii="Cambria" w:eastAsia="Cambria" w:hAnsi="Cambria" w:cs="Times New Roman"/>
                <w:sz w:val="24"/>
                <w:szCs w:val="24"/>
                <w:lang w:val="en-AU" w:eastAsia="en-AU" w:bidi="ar-SA"/>
              </w:rPr>
              <w:t>Company director named a suspect; playback devices seized at sampled outlets</w:t>
            </w:r>
          </w:p>
        </w:tc>
        <w:tc>
          <w:tcPr>
            <w:tcW w:w="4200" w:type="dxa"/>
            <w:tcBorders>
              <w:top w:val="single" w:sz="6" w:space="0" w:color="000000"/>
              <w:left w:val="nil"/>
              <w:bottom w:val="single" w:sz="6" w:space="0" w:color="000000"/>
              <w:right w:val="nil"/>
            </w:tcBorders>
            <w:tcMar>
              <w:top w:w="60" w:type="dxa"/>
              <w:left w:w="90" w:type="dxa"/>
              <w:bottom w:w="60" w:type="dxa"/>
              <w:right w:w="90" w:type="dxa"/>
            </w:tcMar>
            <w:hideMark/>
          </w:tcPr>
          <w:p w14:paraId="254FADFC" w14:textId="77777777" w:rsidR="00C16486" w:rsidRPr="00C16486" w:rsidRDefault="00C16486" w:rsidP="00C16486">
            <w:pPr>
              <w:spacing w:after="0"/>
              <w:jc w:val="both"/>
              <w:rPr>
                <w:rFonts w:ascii="Cambria" w:eastAsia="Cambria" w:hAnsi="Cambria" w:cs="Times New Roman"/>
                <w:sz w:val="24"/>
                <w:szCs w:val="24"/>
                <w:lang w:val="en-AU" w:eastAsia="en-AU" w:bidi="ar-SA"/>
              </w:rPr>
            </w:pPr>
            <w:r w:rsidRPr="00C16486">
              <w:rPr>
                <w:rFonts w:ascii="Cambria" w:eastAsia="Cambria" w:hAnsi="Cambria" w:cs="Times New Roman"/>
                <w:sz w:val="24"/>
                <w:szCs w:val="24"/>
                <w:lang w:val="en-AU" w:eastAsia="en-AU" w:bidi="ar-SA"/>
              </w:rPr>
              <w:t>Personalisation of corporate exposure</w:t>
            </w:r>
          </w:p>
        </w:tc>
      </w:tr>
      <w:tr w:rsidR="00C16486" w:rsidRPr="00C16486" w14:paraId="40BEDA23" w14:textId="77777777">
        <w:tc>
          <w:tcPr>
            <w:tcW w:w="1900" w:type="dxa"/>
            <w:tcBorders>
              <w:top w:val="single" w:sz="6" w:space="0" w:color="000000"/>
              <w:left w:val="nil"/>
              <w:bottom w:val="single" w:sz="6" w:space="0" w:color="000000"/>
              <w:right w:val="nil"/>
            </w:tcBorders>
            <w:tcMar>
              <w:top w:w="60" w:type="dxa"/>
              <w:left w:w="90" w:type="dxa"/>
              <w:bottom w:w="60" w:type="dxa"/>
              <w:right w:w="90" w:type="dxa"/>
            </w:tcMar>
            <w:hideMark/>
          </w:tcPr>
          <w:p w14:paraId="2ECFDFC3" w14:textId="77777777" w:rsidR="00C16486" w:rsidRPr="00C16486" w:rsidRDefault="00C16486" w:rsidP="00C16486">
            <w:pPr>
              <w:spacing w:after="0"/>
              <w:rPr>
                <w:rFonts w:ascii="Cambria" w:eastAsia="Cambria" w:hAnsi="Cambria" w:cs="Times New Roman"/>
                <w:sz w:val="24"/>
                <w:szCs w:val="24"/>
                <w:lang w:val="en-AU" w:eastAsia="en-AU" w:bidi="ar-SA"/>
              </w:rPr>
            </w:pPr>
            <w:r w:rsidRPr="00C16486">
              <w:rPr>
                <w:rFonts w:ascii="Cambria" w:eastAsia="Cambria" w:hAnsi="Cambria" w:cs="Times New Roman"/>
                <w:sz w:val="24"/>
                <w:szCs w:val="24"/>
                <w:lang w:val="en-AU" w:eastAsia="en-AU" w:bidi="ar-SA"/>
              </w:rPr>
              <w:lastRenderedPageBreak/>
              <w:t>7 August 2025</w:t>
            </w:r>
          </w:p>
        </w:tc>
        <w:tc>
          <w:tcPr>
            <w:tcW w:w="3000" w:type="dxa"/>
            <w:tcBorders>
              <w:top w:val="single" w:sz="6" w:space="0" w:color="000000"/>
              <w:left w:val="nil"/>
              <w:bottom w:val="single" w:sz="6" w:space="0" w:color="000000"/>
              <w:right w:val="nil"/>
            </w:tcBorders>
            <w:tcMar>
              <w:top w:w="60" w:type="dxa"/>
              <w:left w:w="90" w:type="dxa"/>
              <w:bottom w:w="60" w:type="dxa"/>
              <w:right w:w="90" w:type="dxa"/>
            </w:tcMar>
            <w:hideMark/>
          </w:tcPr>
          <w:p w14:paraId="77C809B0" w14:textId="77777777" w:rsidR="00C16486" w:rsidRPr="00C16486" w:rsidRDefault="00C16486" w:rsidP="00C16486">
            <w:pPr>
              <w:spacing w:after="0"/>
              <w:jc w:val="both"/>
              <w:rPr>
                <w:rFonts w:ascii="Cambria" w:eastAsia="Cambria" w:hAnsi="Cambria" w:cs="Times New Roman"/>
                <w:sz w:val="24"/>
                <w:szCs w:val="24"/>
                <w:lang w:val="en-AU" w:eastAsia="en-AU" w:bidi="ar-SA"/>
              </w:rPr>
            </w:pPr>
            <w:r w:rsidRPr="00C16486">
              <w:rPr>
                <w:rFonts w:ascii="Cambria" w:eastAsia="Cambria" w:hAnsi="Cambria" w:cs="Times New Roman"/>
                <w:sz w:val="24"/>
                <w:szCs w:val="24"/>
                <w:lang w:val="en-AU" w:eastAsia="en-AU" w:bidi="ar-SA"/>
              </w:rPr>
              <w:t>Minister of Law Regulation 27 of 2025 enacted</w:t>
            </w:r>
          </w:p>
        </w:tc>
        <w:tc>
          <w:tcPr>
            <w:tcW w:w="4200" w:type="dxa"/>
            <w:tcBorders>
              <w:top w:val="single" w:sz="6" w:space="0" w:color="000000"/>
              <w:left w:val="nil"/>
              <w:bottom w:val="single" w:sz="6" w:space="0" w:color="000000"/>
              <w:right w:val="nil"/>
            </w:tcBorders>
            <w:tcMar>
              <w:top w:w="60" w:type="dxa"/>
              <w:left w:w="90" w:type="dxa"/>
              <w:bottom w:w="60" w:type="dxa"/>
              <w:right w:w="90" w:type="dxa"/>
            </w:tcMar>
            <w:hideMark/>
          </w:tcPr>
          <w:p w14:paraId="50289A93" w14:textId="77777777" w:rsidR="00C16486" w:rsidRPr="00C16486" w:rsidRDefault="00C16486" w:rsidP="00C16486">
            <w:pPr>
              <w:spacing w:after="0"/>
              <w:jc w:val="both"/>
              <w:rPr>
                <w:rFonts w:ascii="Cambria" w:eastAsia="Cambria" w:hAnsi="Cambria" w:cs="Times New Roman"/>
                <w:sz w:val="24"/>
                <w:szCs w:val="24"/>
                <w:lang w:val="en-AU" w:eastAsia="en-AU" w:bidi="ar-SA"/>
              </w:rPr>
            </w:pPr>
            <w:r w:rsidRPr="00C16486">
              <w:rPr>
                <w:rFonts w:ascii="Cambria" w:eastAsia="Cambria" w:hAnsi="Cambria" w:cs="Times New Roman"/>
                <w:sz w:val="24"/>
                <w:szCs w:val="24"/>
                <w:lang w:val="en-AU" w:eastAsia="en-AU" w:bidi="ar-SA"/>
              </w:rPr>
              <w:t>Reform of the royalty governance framework</w:t>
            </w:r>
          </w:p>
        </w:tc>
      </w:tr>
      <w:tr w:rsidR="00C16486" w:rsidRPr="00C16486" w14:paraId="7BACFC22" w14:textId="77777777">
        <w:tc>
          <w:tcPr>
            <w:tcW w:w="1900" w:type="dxa"/>
            <w:tcBorders>
              <w:top w:val="single" w:sz="6" w:space="0" w:color="000000"/>
              <w:left w:val="nil"/>
              <w:bottom w:val="single" w:sz="6" w:space="0" w:color="000000"/>
              <w:right w:val="nil"/>
            </w:tcBorders>
            <w:tcMar>
              <w:top w:w="60" w:type="dxa"/>
              <w:left w:w="90" w:type="dxa"/>
              <w:bottom w:w="60" w:type="dxa"/>
              <w:right w:w="90" w:type="dxa"/>
            </w:tcMar>
            <w:hideMark/>
          </w:tcPr>
          <w:p w14:paraId="74C3374B" w14:textId="77777777" w:rsidR="00C16486" w:rsidRPr="00C16486" w:rsidRDefault="00C16486" w:rsidP="00C16486">
            <w:pPr>
              <w:spacing w:after="0"/>
              <w:rPr>
                <w:rFonts w:ascii="Cambria" w:eastAsia="Cambria" w:hAnsi="Cambria" w:cs="Times New Roman"/>
                <w:sz w:val="24"/>
                <w:szCs w:val="24"/>
                <w:lang w:val="en-AU" w:eastAsia="en-AU" w:bidi="ar-SA"/>
              </w:rPr>
            </w:pPr>
            <w:r w:rsidRPr="00C16486">
              <w:rPr>
                <w:rFonts w:ascii="Cambria" w:eastAsia="Cambria" w:hAnsi="Cambria" w:cs="Times New Roman"/>
                <w:sz w:val="24"/>
                <w:szCs w:val="24"/>
                <w:lang w:val="en-AU" w:eastAsia="en-AU" w:bidi="ar-SA"/>
              </w:rPr>
              <w:t>8 August 2025</w:t>
            </w:r>
          </w:p>
        </w:tc>
        <w:tc>
          <w:tcPr>
            <w:tcW w:w="3000" w:type="dxa"/>
            <w:tcBorders>
              <w:top w:val="single" w:sz="6" w:space="0" w:color="000000"/>
              <w:left w:val="nil"/>
              <w:bottom w:val="single" w:sz="6" w:space="0" w:color="000000"/>
              <w:right w:val="nil"/>
            </w:tcBorders>
            <w:tcMar>
              <w:top w:w="60" w:type="dxa"/>
              <w:left w:w="90" w:type="dxa"/>
              <w:bottom w:w="60" w:type="dxa"/>
              <w:right w:w="90" w:type="dxa"/>
            </w:tcMar>
            <w:hideMark/>
          </w:tcPr>
          <w:p w14:paraId="002D3C80" w14:textId="77777777" w:rsidR="00C16486" w:rsidRPr="00C16486" w:rsidRDefault="00C16486" w:rsidP="00C16486">
            <w:pPr>
              <w:spacing w:after="0"/>
              <w:jc w:val="both"/>
              <w:rPr>
                <w:rFonts w:ascii="Cambria" w:eastAsia="Cambria" w:hAnsi="Cambria" w:cs="Times New Roman"/>
                <w:sz w:val="24"/>
                <w:szCs w:val="24"/>
                <w:lang w:val="en-AU" w:eastAsia="en-AU" w:bidi="ar-SA"/>
              </w:rPr>
            </w:pPr>
            <w:r w:rsidRPr="00C16486">
              <w:rPr>
                <w:rFonts w:ascii="Cambria" w:eastAsia="Cambria" w:hAnsi="Cambria" w:cs="Times New Roman"/>
                <w:sz w:val="24"/>
                <w:szCs w:val="24"/>
                <w:lang w:val="en-AU" w:eastAsia="en-AU" w:bidi="ar-SA"/>
              </w:rPr>
              <w:t>Settlement agreement signed; IDR 2,264,502,000 payable for use through December 2025</w:t>
            </w:r>
          </w:p>
        </w:tc>
        <w:tc>
          <w:tcPr>
            <w:tcW w:w="4200" w:type="dxa"/>
            <w:tcBorders>
              <w:top w:val="single" w:sz="6" w:space="0" w:color="000000"/>
              <w:left w:val="nil"/>
              <w:bottom w:val="single" w:sz="6" w:space="0" w:color="000000"/>
              <w:right w:val="nil"/>
            </w:tcBorders>
            <w:tcMar>
              <w:top w:w="60" w:type="dxa"/>
              <w:left w:w="90" w:type="dxa"/>
              <w:bottom w:w="60" w:type="dxa"/>
              <w:right w:w="90" w:type="dxa"/>
            </w:tcMar>
            <w:hideMark/>
          </w:tcPr>
          <w:p w14:paraId="62769E8A" w14:textId="77777777" w:rsidR="00C16486" w:rsidRPr="00C16486" w:rsidRDefault="00C16486" w:rsidP="00C16486">
            <w:pPr>
              <w:spacing w:after="0"/>
              <w:jc w:val="both"/>
              <w:rPr>
                <w:rFonts w:ascii="Cambria" w:eastAsia="Cambria" w:hAnsi="Cambria" w:cs="Times New Roman"/>
                <w:sz w:val="24"/>
                <w:szCs w:val="24"/>
                <w:lang w:val="en-AU" w:eastAsia="en-AU" w:bidi="ar-SA"/>
              </w:rPr>
            </w:pPr>
            <w:r w:rsidRPr="00C16486">
              <w:rPr>
                <w:rFonts w:ascii="Cambria" w:eastAsia="Cambria" w:hAnsi="Cambria" w:cs="Times New Roman"/>
                <w:sz w:val="24"/>
                <w:szCs w:val="24"/>
                <w:lang w:val="en-AU" w:eastAsia="en-AU" w:bidi="ar-SA"/>
              </w:rPr>
              <w:t>Restoration of the economic right</w:t>
            </w:r>
          </w:p>
        </w:tc>
      </w:tr>
      <w:tr w:rsidR="00C16486" w:rsidRPr="00C16486" w14:paraId="0C2357B3" w14:textId="77777777">
        <w:tc>
          <w:tcPr>
            <w:tcW w:w="1900" w:type="dxa"/>
            <w:tcBorders>
              <w:top w:val="single" w:sz="6" w:space="0" w:color="000000"/>
              <w:left w:val="nil"/>
              <w:bottom w:val="single" w:sz="6" w:space="0" w:color="000000"/>
              <w:right w:val="nil"/>
            </w:tcBorders>
            <w:tcMar>
              <w:top w:w="60" w:type="dxa"/>
              <w:left w:w="90" w:type="dxa"/>
              <w:bottom w:w="60" w:type="dxa"/>
              <w:right w:w="90" w:type="dxa"/>
            </w:tcMar>
            <w:hideMark/>
          </w:tcPr>
          <w:p w14:paraId="36519113" w14:textId="77777777" w:rsidR="00C16486" w:rsidRPr="00C16486" w:rsidRDefault="00C16486" w:rsidP="00C16486">
            <w:pPr>
              <w:spacing w:after="0"/>
              <w:rPr>
                <w:rFonts w:ascii="Cambria" w:eastAsia="Cambria" w:hAnsi="Cambria" w:cs="Times New Roman"/>
                <w:sz w:val="24"/>
                <w:szCs w:val="24"/>
                <w:lang w:val="en-AU" w:eastAsia="en-AU" w:bidi="ar-SA"/>
              </w:rPr>
            </w:pPr>
            <w:r w:rsidRPr="00C16486">
              <w:rPr>
                <w:rFonts w:ascii="Cambria" w:eastAsia="Cambria" w:hAnsi="Cambria" w:cs="Times New Roman"/>
                <w:sz w:val="24"/>
                <w:szCs w:val="24"/>
                <w:lang w:val="en-AU" w:eastAsia="en-AU" w:bidi="ar-SA"/>
              </w:rPr>
              <w:t>Late August 2025</w:t>
            </w:r>
          </w:p>
        </w:tc>
        <w:tc>
          <w:tcPr>
            <w:tcW w:w="3000" w:type="dxa"/>
            <w:tcBorders>
              <w:top w:val="single" w:sz="6" w:space="0" w:color="000000"/>
              <w:left w:val="nil"/>
              <w:bottom w:val="single" w:sz="6" w:space="0" w:color="000000"/>
              <w:right w:val="nil"/>
            </w:tcBorders>
            <w:tcMar>
              <w:top w:w="60" w:type="dxa"/>
              <w:left w:w="90" w:type="dxa"/>
              <w:bottom w:w="60" w:type="dxa"/>
              <w:right w:w="90" w:type="dxa"/>
            </w:tcMar>
            <w:hideMark/>
          </w:tcPr>
          <w:p w14:paraId="72374EF4" w14:textId="77777777" w:rsidR="00C16486" w:rsidRPr="00C16486" w:rsidRDefault="00C16486" w:rsidP="00C16486">
            <w:pPr>
              <w:spacing w:after="0"/>
              <w:jc w:val="both"/>
              <w:rPr>
                <w:rFonts w:ascii="Cambria" w:eastAsia="Cambria" w:hAnsi="Cambria" w:cs="Times New Roman"/>
                <w:sz w:val="24"/>
                <w:szCs w:val="24"/>
                <w:lang w:val="en-AU" w:eastAsia="en-AU" w:bidi="ar-SA"/>
              </w:rPr>
            </w:pPr>
            <w:r w:rsidRPr="00C16486">
              <w:rPr>
                <w:rFonts w:ascii="Cambria" w:eastAsia="Cambria" w:hAnsi="Cambria" w:cs="Times New Roman"/>
                <w:sz w:val="24"/>
                <w:szCs w:val="24"/>
                <w:lang w:val="en-AU" w:eastAsia="en-AU" w:bidi="ar-SA"/>
              </w:rPr>
              <w:t>Case closed by the Bali Regional Police through restorative justice</w:t>
            </w:r>
          </w:p>
        </w:tc>
        <w:tc>
          <w:tcPr>
            <w:tcW w:w="4200" w:type="dxa"/>
            <w:tcBorders>
              <w:top w:val="single" w:sz="6" w:space="0" w:color="000000"/>
              <w:left w:val="nil"/>
              <w:bottom w:val="single" w:sz="6" w:space="0" w:color="000000"/>
              <w:right w:val="nil"/>
            </w:tcBorders>
            <w:tcMar>
              <w:top w:w="60" w:type="dxa"/>
              <w:left w:w="90" w:type="dxa"/>
              <w:bottom w:w="60" w:type="dxa"/>
              <w:right w:w="90" w:type="dxa"/>
            </w:tcMar>
            <w:hideMark/>
          </w:tcPr>
          <w:p w14:paraId="4EDCEAAA" w14:textId="77777777" w:rsidR="00C16486" w:rsidRPr="00C16486" w:rsidRDefault="00C16486" w:rsidP="00C16486">
            <w:pPr>
              <w:spacing w:after="0"/>
              <w:jc w:val="both"/>
              <w:rPr>
                <w:rFonts w:ascii="Cambria" w:eastAsia="Cambria" w:hAnsi="Cambria" w:cs="Times New Roman"/>
                <w:sz w:val="24"/>
                <w:szCs w:val="24"/>
                <w:lang w:val="en-AU" w:eastAsia="en-AU" w:bidi="ar-SA"/>
              </w:rPr>
            </w:pPr>
            <w:r w:rsidRPr="00C16486">
              <w:rPr>
                <w:rFonts w:ascii="Cambria" w:eastAsia="Cambria" w:hAnsi="Cambria" w:cs="Times New Roman"/>
                <w:sz w:val="24"/>
                <w:szCs w:val="24"/>
                <w:lang w:val="en-AU" w:eastAsia="en-AU" w:bidi="ar-SA"/>
              </w:rPr>
              <w:t>Termination of criminal exposure</w:t>
            </w:r>
          </w:p>
        </w:tc>
      </w:tr>
      <w:tr w:rsidR="00C16486" w:rsidRPr="00C16486" w14:paraId="51D54DF0" w14:textId="77777777">
        <w:tc>
          <w:tcPr>
            <w:tcW w:w="1900" w:type="dxa"/>
            <w:tcBorders>
              <w:top w:val="single" w:sz="6" w:space="0" w:color="000000"/>
              <w:left w:val="nil"/>
              <w:bottom w:val="single" w:sz="6" w:space="0" w:color="000000"/>
              <w:right w:val="nil"/>
            </w:tcBorders>
            <w:tcMar>
              <w:top w:w="60" w:type="dxa"/>
              <w:left w:w="90" w:type="dxa"/>
              <w:bottom w:w="60" w:type="dxa"/>
              <w:right w:w="90" w:type="dxa"/>
            </w:tcMar>
            <w:hideMark/>
          </w:tcPr>
          <w:p w14:paraId="42E81CA2" w14:textId="77777777" w:rsidR="00C16486" w:rsidRPr="00C16486" w:rsidRDefault="00C16486" w:rsidP="00C16486">
            <w:pPr>
              <w:spacing w:after="0"/>
              <w:rPr>
                <w:rFonts w:ascii="Cambria" w:eastAsia="Cambria" w:hAnsi="Cambria" w:cs="Times New Roman"/>
                <w:sz w:val="24"/>
                <w:szCs w:val="24"/>
                <w:lang w:val="en-AU" w:eastAsia="en-AU" w:bidi="ar-SA"/>
              </w:rPr>
            </w:pPr>
            <w:r w:rsidRPr="00C16486">
              <w:rPr>
                <w:rFonts w:ascii="Cambria" w:eastAsia="Cambria" w:hAnsi="Cambria" w:cs="Times New Roman"/>
                <w:sz w:val="24"/>
                <w:szCs w:val="24"/>
                <w:lang w:val="en-AU" w:eastAsia="en-AU" w:bidi="ar-SA"/>
              </w:rPr>
              <w:t>17 December 2025</w:t>
            </w:r>
          </w:p>
        </w:tc>
        <w:tc>
          <w:tcPr>
            <w:tcW w:w="3000" w:type="dxa"/>
            <w:tcBorders>
              <w:top w:val="single" w:sz="6" w:space="0" w:color="000000"/>
              <w:left w:val="nil"/>
              <w:bottom w:val="single" w:sz="6" w:space="0" w:color="000000"/>
              <w:right w:val="nil"/>
            </w:tcBorders>
            <w:tcMar>
              <w:top w:w="60" w:type="dxa"/>
              <w:left w:w="90" w:type="dxa"/>
              <w:bottom w:w="60" w:type="dxa"/>
              <w:right w:w="90" w:type="dxa"/>
            </w:tcMar>
            <w:hideMark/>
          </w:tcPr>
          <w:p w14:paraId="5D9F4BF1" w14:textId="77777777" w:rsidR="00C16486" w:rsidRPr="00C16486" w:rsidRDefault="00C16486" w:rsidP="00C16486">
            <w:pPr>
              <w:spacing w:after="0"/>
              <w:jc w:val="both"/>
              <w:rPr>
                <w:rFonts w:ascii="Cambria" w:eastAsia="Cambria" w:hAnsi="Cambria" w:cs="Times New Roman"/>
                <w:sz w:val="24"/>
                <w:szCs w:val="24"/>
                <w:lang w:val="en-AU" w:eastAsia="en-AU" w:bidi="ar-SA"/>
              </w:rPr>
            </w:pPr>
            <w:r w:rsidRPr="00C16486">
              <w:rPr>
                <w:rFonts w:ascii="Cambria" w:eastAsia="Cambria" w:hAnsi="Cambria" w:cs="Times New Roman"/>
                <w:sz w:val="24"/>
                <w:szCs w:val="24"/>
                <w:lang w:val="en-AU" w:eastAsia="en-AU" w:bidi="ar-SA"/>
              </w:rPr>
              <w:t>Constitutional Court Decision 28/PUU-XXIII/2025 pronounced</w:t>
            </w:r>
          </w:p>
        </w:tc>
        <w:tc>
          <w:tcPr>
            <w:tcW w:w="4200" w:type="dxa"/>
            <w:tcBorders>
              <w:top w:val="single" w:sz="6" w:space="0" w:color="000000"/>
              <w:left w:val="nil"/>
              <w:bottom w:val="single" w:sz="6" w:space="0" w:color="000000"/>
              <w:right w:val="nil"/>
            </w:tcBorders>
            <w:tcMar>
              <w:top w:w="60" w:type="dxa"/>
              <w:left w:w="90" w:type="dxa"/>
              <w:bottom w:w="60" w:type="dxa"/>
              <w:right w:w="90" w:type="dxa"/>
            </w:tcMar>
            <w:hideMark/>
          </w:tcPr>
          <w:p w14:paraId="43313544" w14:textId="77777777" w:rsidR="00C16486" w:rsidRPr="00C16486" w:rsidRDefault="00C16486" w:rsidP="00C16486">
            <w:pPr>
              <w:spacing w:after="0"/>
              <w:jc w:val="both"/>
              <w:rPr>
                <w:rFonts w:ascii="Cambria" w:eastAsia="Cambria" w:hAnsi="Cambria" w:cs="Times New Roman"/>
                <w:sz w:val="24"/>
                <w:szCs w:val="24"/>
                <w:lang w:val="en-AU" w:eastAsia="en-AU" w:bidi="ar-SA"/>
              </w:rPr>
            </w:pPr>
            <w:r w:rsidRPr="00C16486">
              <w:rPr>
                <w:rFonts w:ascii="Cambria" w:eastAsia="Cambria" w:hAnsi="Cambria" w:cs="Times New Roman"/>
                <w:sz w:val="24"/>
                <w:szCs w:val="24"/>
                <w:lang w:val="en-AU" w:eastAsia="en-AU" w:bidi="ar-SA"/>
              </w:rPr>
              <w:t>Restorative justice becomes a constitutional condition</w:t>
            </w:r>
          </w:p>
        </w:tc>
      </w:tr>
      <w:tr w:rsidR="00C16486" w:rsidRPr="00C16486" w14:paraId="53D9B3EE" w14:textId="77777777">
        <w:tc>
          <w:tcPr>
            <w:tcW w:w="1900" w:type="dxa"/>
            <w:tcBorders>
              <w:top w:val="single" w:sz="6" w:space="0" w:color="000000"/>
              <w:left w:val="nil"/>
              <w:bottom w:val="single" w:sz="6" w:space="0" w:color="000000"/>
              <w:right w:val="nil"/>
            </w:tcBorders>
            <w:tcMar>
              <w:top w:w="60" w:type="dxa"/>
              <w:left w:w="90" w:type="dxa"/>
              <w:bottom w:w="60" w:type="dxa"/>
              <w:right w:w="90" w:type="dxa"/>
            </w:tcMar>
            <w:hideMark/>
          </w:tcPr>
          <w:p w14:paraId="7F1BE107" w14:textId="77777777" w:rsidR="00C16486" w:rsidRPr="00C16486" w:rsidRDefault="00C16486" w:rsidP="00C16486">
            <w:pPr>
              <w:spacing w:after="0"/>
              <w:rPr>
                <w:rFonts w:ascii="Cambria" w:eastAsia="Cambria" w:hAnsi="Cambria" w:cs="Times New Roman"/>
                <w:sz w:val="24"/>
                <w:szCs w:val="24"/>
                <w:lang w:val="en-AU" w:eastAsia="en-AU" w:bidi="ar-SA"/>
              </w:rPr>
            </w:pPr>
            <w:r w:rsidRPr="00C16486">
              <w:rPr>
                <w:rFonts w:ascii="Cambria" w:eastAsia="Cambria" w:hAnsi="Cambria" w:cs="Times New Roman"/>
                <w:sz w:val="24"/>
                <w:szCs w:val="24"/>
                <w:lang w:val="en-AU" w:eastAsia="en-AU" w:bidi="ar-SA"/>
              </w:rPr>
              <w:t>29 December 2025</w:t>
            </w:r>
          </w:p>
        </w:tc>
        <w:tc>
          <w:tcPr>
            <w:tcW w:w="3000" w:type="dxa"/>
            <w:tcBorders>
              <w:top w:val="single" w:sz="6" w:space="0" w:color="000000"/>
              <w:left w:val="nil"/>
              <w:bottom w:val="single" w:sz="6" w:space="0" w:color="000000"/>
              <w:right w:val="nil"/>
            </w:tcBorders>
            <w:tcMar>
              <w:top w:w="60" w:type="dxa"/>
              <w:left w:w="90" w:type="dxa"/>
              <w:bottom w:w="60" w:type="dxa"/>
              <w:right w:w="90" w:type="dxa"/>
            </w:tcMar>
            <w:hideMark/>
          </w:tcPr>
          <w:p w14:paraId="6B94B882" w14:textId="77777777" w:rsidR="00C16486" w:rsidRPr="00C16486" w:rsidRDefault="00C16486" w:rsidP="00C16486">
            <w:pPr>
              <w:spacing w:after="0"/>
              <w:jc w:val="both"/>
              <w:rPr>
                <w:rFonts w:ascii="Cambria" w:eastAsia="Cambria" w:hAnsi="Cambria" w:cs="Times New Roman"/>
                <w:sz w:val="24"/>
                <w:szCs w:val="24"/>
                <w:lang w:val="en-AU" w:eastAsia="en-AU" w:bidi="ar-SA"/>
              </w:rPr>
            </w:pPr>
            <w:r w:rsidRPr="00C16486">
              <w:rPr>
                <w:rFonts w:ascii="Cambria" w:eastAsia="Cambria" w:hAnsi="Cambria" w:cs="Times New Roman"/>
                <w:sz w:val="24"/>
                <w:szCs w:val="24"/>
                <w:lang w:val="en-AU" w:eastAsia="en-AU" w:bidi="ar-SA"/>
              </w:rPr>
              <w:t>Circular Letter of the Director General of Intellectual Property issued</w:t>
            </w:r>
          </w:p>
        </w:tc>
        <w:tc>
          <w:tcPr>
            <w:tcW w:w="4200" w:type="dxa"/>
            <w:tcBorders>
              <w:top w:val="single" w:sz="6" w:space="0" w:color="000000"/>
              <w:left w:val="nil"/>
              <w:bottom w:val="single" w:sz="6" w:space="0" w:color="000000"/>
              <w:right w:val="nil"/>
            </w:tcBorders>
            <w:tcMar>
              <w:top w:w="60" w:type="dxa"/>
              <w:left w:w="90" w:type="dxa"/>
              <w:bottom w:w="60" w:type="dxa"/>
              <w:right w:w="90" w:type="dxa"/>
            </w:tcMar>
            <w:hideMark/>
          </w:tcPr>
          <w:p w14:paraId="437753E1" w14:textId="77777777" w:rsidR="00C16486" w:rsidRPr="00C16486" w:rsidRDefault="00C16486" w:rsidP="00C16486">
            <w:pPr>
              <w:spacing w:after="0"/>
              <w:jc w:val="both"/>
              <w:rPr>
                <w:rFonts w:ascii="Cambria" w:eastAsia="Cambria" w:hAnsi="Cambria" w:cs="Times New Roman"/>
                <w:sz w:val="24"/>
                <w:szCs w:val="24"/>
                <w:lang w:val="en-AU" w:eastAsia="en-AU" w:bidi="ar-SA"/>
              </w:rPr>
            </w:pPr>
            <w:r w:rsidRPr="00C16486">
              <w:rPr>
                <w:rFonts w:ascii="Cambria" w:eastAsia="Cambria" w:hAnsi="Cambria" w:cs="Times New Roman"/>
                <w:sz w:val="24"/>
                <w:szCs w:val="24"/>
                <w:lang w:val="en-AU" w:eastAsia="en-AU" w:bidi="ar-SA"/>
              </w:rPr>
              <w:t>Systematisation of enforcement against commercial users</w:t>
            </w:r>
          </w:p>
        </w:tc>
      </w:tr>
    </w:tbl>
    <w:p w14:paraId="61D89F74" w14:textId="77777777" w:rsidR="00C16486" w:rsidRPr="00C16486" w:rsidRDefault="00C16486" w:rsidP="00C16486">
      <w:pPr>
        <w:spacing w:before="80"/>
        <w:jc w:val="both"/>
        <w:rPr>
          <w:rFonts w:ascii="Cambria" w:eastAsia="Cambria" w:hAnsi="Cambria" w:cs="Times New Roman"/>
          <w:sz w:val="24"/>
          <w:szCs w:val="24"/>
          <w:lang w:val="en-AU" w:eastAsia="en-AU" w:bidi="ar-SA"/>
        </w:rPr>
      </w:pPr>
      <w:r w:rsidRPr="00C16486">
        <w:rPr>
          <w:rFonts w:ascii="Cambria" w:eastAsia="Cambria" w:hAnsi="Cambria" w:cs="Times New Roman"/>
          <w:i/>
          <w:iCs/>
          <w:sz w:val="24"/>
          <w:szCs w:val="24"/>
          <w:lang w:val="en-AU" w:eastAsia="en-AU" w:bidi="ar-SA"/>
        </w:rPr>
        <w:t>Source: Processed from official statements, regulatory instruments, and reporting, 2026.</w:t>
      </w:r>
    </w:p>
    <w:p w14:paraId="4E6A17DB" w14:textId="77777777" w:rsidR="00C16486" w:rsidRPr="00C16486" w:rsidRDefault="00C16486" w:rsidP="00C16486">
      <w:pPr>
        <w:spacing w:after="120"/>
        <w:jc w:val="both"/>
        <w:rPr>
          <w:rFonts w:ascii="Cambria" w:eastAsia="Cambria" w:hAnsi="Cambria" w:cs="Times New Roman"/>
          <w:sz w:val="24"/>
          <w:szCs w:val="24"/>
          <w:lang w:val="en-AU" w:eastAsia="en-AU" w:bidi="ar-SA"/>
        </w:rPr>
      </w:pPr>
      <w:r w:rsidRPr="00C16486">
        <w:rPr>
          <w:rFonts w:ascii="Cambria" w:eastAsia="Cambria" w:hAnsi="Cambria" w:cs="Times New Roman"/>
          <w:sz w:val="24"/>
          <w:szCs w:val="24"/>
          <w:lang w:val="en-AU" w:eastAsia="en-AU" w:bidi="ar-SA"/>
        </w:rPr>
        <w:t>Read against the pyramid, the sequence is almost diagrammatic. The base was worked for close to three years and yielded nothing. The middle of the pyramid, which in a well-designed regime would consist of administrative sanctions such as licence conditions or business-permit consequences, was simply absent, because Indonesian copyright law provides no administrative rung between a demand letter and a police report. The complainant therefore had two options: give up, or jump to the apex. It jumped.</w:t>
      </w:r>
      <w:r w:rsidRPr="00C16486">
        <w:rPr>
          <w:rFonts w:ascii="Cambria" w:eastAsia="Cambria" w:hAnsi="Cambria" w:cs="Times New Roman"/>
          <w:sz w:val="24"/>
          <w:szCs w:val="24"/>
          <w:vertAlign w:val="superscript"/>
          <w:lang w:val="en-AU" w:eastAsia="en-AU" w:bidi="ar-SA"/>
        </w:rPr>
        <w:footnoteReference w:id="23"/>
      </w:r>
    </w:p>
    <w:p w14:paraId="572209EB" w14:textId="77777777" w:rsidR="00C16486" w:rsidRPr="00C16486" w:rsidRDefault="00C16486" w:rsidP="00C16486">
      <w:pPr>
        <w:jc w:val="both"/>
        <w:rPr>
          <w:rFonts w:ascii="Times New Roman" w:eastAsia="Cambria" w:hAnsi="Times New Roman" w:cs="Times New Roman"/>
          <w:sz w:val="24"/>
          <w:szCs w:val="24"/>
          <w:lang w:val="en-AU" w:eastAsia="en-AU" w:bidi="ar-SA"/>
        </w:rPr>
      </w:pPr>
      <w:r w:rsidRPr="00C16486">
        <w:rPr>
          <w:rFonts w:ascii="Cambria" w:eastAsia="Cambria" w:hAnsi="Cambria" w:cs="Times New Roman"/>
          <w:sz w:val="24"/>
          <w:szCs w:val="24"/>
          <w:lang w:val="en-AU" w:eastAsia="en-AU" w:bidi="ar-SA"/>
        </w:rPr>
        <w:t>One detail in the timeline deserves emphasis because it is easy to read as coincidence. The implementing regulation that reformed royalty governance was enacted on 7 August 2025, and the settlement was signed on 8 August 2025 in the presence of the Minister of Law.</w:t>
      </w:r>
      <w:r w:rsidRPr="00C16486">
        <w:rPr>
          <w:rFonts w:ascii="Cambria" w:eastAsia="Cambria" w:hAnsi="Cambria" w:cs="Times New Roman"/>
          <w:sz w:val="24"/>
          <w:szCs w:val="24"/>
          <w:vertAlign w:val="superscript"/>
          <w:lang w:val="en-AU" w:eastAsia="en-AU" w:bidi="ar-SA"/>
        </w:rPr>
        <w:footnoteReference w:id="24"/>
      </w:r>
      <w:r w:rsidRPr="00C16486">
        <w:rPr>
          <w:rFonts w:ascii="Cambria" w:eastAsia="Cambria" w:hAnsi="Cambria" w:cs="Times New Roman"/>
          <w:sz w:val="24"/>
          <w:szCs w:val="24"/>
          <w:lang w:val="en-AU" w:eastAsia="en-AU" w:bidi="ar-SA"/>
        </w:rPr>
        <w:t xml:space="preserve"> The settlement was thus not merely a private accommodation between a rights organisation and a debtor; it functioned as the first public demonstration of a regulatory framework enacted the previous day. That observation does not impugn the settlement, but it does explain why the outcome should be read as an instrument of policy signalling rather than as evidence that the system now works.</w:t>
      </w:r>
    </w:p>
    <w:p w14:paraId="5AE29C9A" w14:textId="58B28CB0" w:rsidR="00A90240" w:rsidRPr="00C16486" w:rsidRDefault="00A90240" w:rsidP="00621443">
      <w:pPr>
        <w:jc w:val="both"/>
        <w:rPr>
          <w:rFonts w:ascii="Cambria" w:hAnsi="Cambria"/>
          <w:sz w:val="24"/>
          <w:szCs w:val="32"/>
          <w:lang w:val="en-AU" w:eastAsia="zh-CN" w:bidi="ar-SA"/>
        </w:rPr>
      </w:pPr>
    </w:p>
    <w:p w14:paraId="429EAE17" w14:textId="77777777" w:rsidR="00A90240" w:rsidRDefault="00000000">
      <w:pPr>
        <w:spacing w:before="120"/>
        <w:jc w:val="both"/>
        <w:rPr>
          <w:rFonts w:ascii="Cambria" w:eastAsia="EB Garamond" w:hAnsi="Cambria" w:cs="EB Garamond"/>
          <w:color w:val="000000"/>
          <w:sz w:val="24"/>
          <w:szCs w:val="24"/>
        </w:rPr>
      </w:pPr>
      <w:r>
        <w:rPr>
          <w:rFonts w:ascii="EB Garamond" w:eastAsia="EB Garamond" w:hAnsi="EB Garamond" w:cs="EB Garamond"/>
          <w:noProof/>
          <w:color w:val="F2F2F2" w:themeColor="background1" w:themeShade="F2"/>
          <w:sz w:val="24"/>
          <w:szCs w:val="24"/>
        </w:rPr>
        <mc:AlternateContent>
          <mc:Choice Requires="wps">
            <w:drawing>
              <wp:anchor distT="0" distB="0" distL="114300" distR="114300" simplePos="0" relativeHeight="251661312" behindDoc="0" locked="0" layoutInCell="1" allowOverlap="1" wp14:anchorId="5F56A08B" wp14:editId="5CA93030">
                <wp:simplePos x="0" y="0"/>
                <wp:positionH relativeFrom="margin">
                  <wp:posOffset>3077</wp:posOffset>
                </wp:positionH>
                <wp:positionV relativeFrom="paragraph">
                  <wp:posOffset>92368</wp:posOffset>
                </wp:positionV>
                <wp:extent cx="5400040" cy="513471"/>
                <wp:effectExtent l="0" t="0" r="10160" b="20320"/>
                <wp:wrapNone/>
                <wp:docPr id="1925700209" name="Persegi Panjang 4"/>
                <wp:cNvGraphicFramePr/>
                <a:graphic xmlns:a="http://schemas.openxmlformats.org/drawingml/2006/main">
                  <a:graphicData uri="http://schemas.microsoft.com/office/word/2010/wordprocessingShape">
                    <wps:wsp>
                      <wps:cNvSpPr/>
                      <wps:spPr>
                        <a:xfrm>
                          <a:off x="0" y="0"/>
                          <a:ext cx="5400040" cy="513471"/>
                        </a:xfrm>
                        <a:prstGeom prst="rect">
                          <a:avLst/>
                        </a:prstGeom>
                        <a:solidFill>
                          <a:srgbClr val="215B57"/>
                        </a:solidFill>
                      </wps:spPr>
                      <wps:style>
                        <a:lnRef idx="2">
                          <a:schemeClr val="accent6">
                            <a:shade val="15000"/>
                          </a:schemeClr>
                        </a:lnRef>
                        <a:fillRef idx="1">
                          <a:schemeClr val="accent6"/>
                        </a:fillRef>
                        <a:effectRef idx="0">
                          <a:schemeClr val="accent6"/>
                        </a:effectRef>
                        <a:fontRef idx="minor">
                          <a:schemeClr val="lt1"/>
                        </a:fontRef>
                      </wps:style>
                      <wps:txbx>
                        <w:txbxContent>
                          <w:p w14:paraId="53BCC13C" w14:textId="6D7BCB70" w:rsidR="00A90240" w:rsidRPr="00C16486" w:rsidRDefault="00C16486">
                            <w:pPr>
                              <w:rPr>
                                <w:rFonts w:ascii="Cambria" w:hAnsi="Cambria"/>
                                <w:b/>
                                <w:bCs/>
                                <w:sz w:val="24"/>
                                <w:szCs w:val="24"/>
                              </w:rPr>
                            </w:pPr>
                            <w:r w:rsidRPr="00C16486">
                              <w:rPr>
                                <w:rFonts w:ascii="Cambria" w:hAnsi="Cambria"/>
                                <w:b/>
                                <w:bCs/>
                                <w:sz w:val="24"/>
                                <w:szCs w:val="24"/>
                                <w:lang w:val="zh-CN"/>
                              </w:rPr>
                              <w:t>The Normative Basis and Its Recurring Misreadings</w:t>
                            </w:r>
                            <w:r>
                              <w:rPr>
                                <w:rFonts w:ascii="Cambria" w:hAnsi="Cambria"/>
                                <w:b/>
                                <w:bCs/>
                                <w:sz w:val="24"/>
                                <w:szCs w:val="24"/>
                              </w:rPr>
                              <w:t xml:space="preserve"> and </w:t>
                            </w:r>
                            <w:r w:rsidRPr="00C16486">
                              <w:rPr>
                                <w:rFonts w:ascii="Cambria" w:hAnsi="Cambria"/>
                                <w:b/>
                                <w:bCs/>
                                <w:sz w:val="24"/>
                                <w:szCs w:val="24"/>
                              </w:rPr>
                              <w:t>Reconstructing the Settlement Against the Tariff</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5F56A08B" id="_x0000_s1027" style="position:absolute;left:0;text-align:left;margin-left:.25pt;margin-top:7.25pt;width:425.2pt;height:40.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" fillcolor="#215b57" strokecolor="#10190a [489]" strokeweight="1pt">
                <v:textbox>
                  <w:txbxContent>
                    <w:p w14:paraId="53BCC13C" w14:textId="6D7BCB70" w:rsidR="00A90240" w:rsidRPr="00C16486" w:rsidRDefault="00C16486">
                      <w:pPr>
                        <w:rPr>
                          <w:rFonts w:ascii="Cambria" w:hAnsi="Cambria"/>
                          <w:b/>
                          <w:bCs/>
                          <w:sz w:val="24"/>
                          <w:szCs w:val="24"/>
                        </w:rPr>
                      </w:pPr>
                      <w:r w:rsidRPr="00C16486">
                        <w:rPr>
                          <w:rFonts w:ascii="Cambria" w:hAnsi="Cambria"/>
                          <w:b/>
                          <w:bCs/>
                          <w:sz w:val="24"/>
                          <w:szCs w:val="24"/>
                          <w:lang w:val="zh-CN"/>
                        </w:rPr>
                        <w:t>The Normative Basis and Its Recurring Misreadings</w:t>
                      </w:r>
                      <w:r>
                        <w:rPr>
                          <w:rFonts w:ascii="Cambria" w:hAnsi="Cambria"/>
                          <w:b/>
                          <w:bCs/>
                          <w:sz w:val="24"/>
                          <w:szCs w:val="24"/>
                        </w:rPr>
                        <w:t xml:space="preserve"> and </w:t>
                      </w:r>
                      <w:r w:rsidRPr="00C16486">
                        <w:rPr>
                          <w:rFonts w:ascii="Cambria" w:hAnsi="Cambria"/>
                          <w:b/>
                          <w:bCs/>
                          <w:sz w:val="24"/>
                          <w:szCs w:val="24"/>
                        </w:rPr>
                        <w:t>Reconstructing the Settlement Against the Tariff</w:t>
                      </w:r>
                    </w:p>
                  </w:txbxContent>
                </v:textbox>
                <w10:wrap anchorx="margin"/>
              </v:rect>
            </w:pict>
          </mc:Fallback>
        </mc:AlternateContent>
      </w:r>
    </w:p>
    <w:p w14:paraId="2265C910" w14:textId="77777777" w:rsidR="00A90240" w:rsidRPr="00C16486" w:rsidRDefault="00A90240" w:rsidP="00C16486">
      <w:pPr>
        <w:jc w:val="both"/>
        <w:rPr>
          <w:rFonts w:ascii="Cambria" w:eastAsia="Times New Roman" w:hAnsi="Cambria" w:cs="Times New Roman"/>
          <w:sz w:val="24"/>
          <w:szCs w:val="24"/>
          <w:lang w:eastAsia="zh-CN" w:bidi="ar-SA"/>
        </w:rPr>
      </w:pPr>
    </w:p>
    <w:p w14:paraId="43C772FD" w14:textId="77777777" w:rsidR="006E68E3" w:rsidRPr="006E68E3" w:rsidRDefault="006E68E3" w:rsidP="006E68E3">
      <w:pPr>
        <w:spacing w:before="240"/>
        <w:jc w:val="both"/>
        <w:rPr>
          <w:rFonts w:ascii="Cambria" w:hAnsi="Cambria"/>
          <w:sz w:val="24"/>
          <w:szCs w:val="32"/>
          <w:lang w:val="en-AU"/>
        </w:rPr>
      </w:pPr>
      <w:r w:rsidRPr="006E68E3">
        <w:rPr>
          <w:rFonts w:ascii="Cambria" w:hAnsi="Cambria"/>
          <w:sz w:val="24"/>
          <w:szCs w:val="32"/>
          <w:lang w:val="en-AU"/>
        </w:rPr>
        <w:t>The obligation itself is not genuinely contestable, and the analysis need not dwell on establishing it. Article 9(1) of the Copyright Law reserves to the creator the exclusive economic right to perform and communicate a work; Article 3(1) and (2) of Government Regulation 56 of 2021 require any person making commercial use of songs in a listed public service to pay royalties through the national institution; and restaurants and cafés appear in the second of the fourteen listed categories, at letter b, not at letter n as has been asserted in the secondary literature.</w:t>
      </w:r>
      <w:r w:rsidRPr="006E68E3">
        <w:rPr>
          <w:rFonts w:ascii="Cambria" w:hAnsi="Cambria"/>
          <w:sz w:val="24"/>
          <w:szCs w:val="32"/>
          <w:vertAlign w:val="superscript"/>
          <w:lang w:val="en-AU"/>
        </w:rPr>
        <w:footnoteReference w:id="25"/>
      </w:r>
      <w:r w:rsidRPr="006E68E3">
        <w:rPr>
          <w:rFonts w:ascii="Cambria" w:hAnsi="Cambria"/>
          <w:sz w:val="24"/>
          <w:szCs w:val="32"/>
          <w:lang w:val="en-AU"/>
        </w:rPr>
        <w:t xml:space="preserve"> The point is worth correcting because a misplaced letter in a citation invites the reader to doubt the whole argument, and because letter n covers karaoke businesses, whose tariff basis is entirely different.</w:t>
      </w:r>
    </w:p>
    <w:p w14:paraId="55933431" w14:textId="77777777" w:rsidR="006E68E3" w:rsidRPr="006E68E3" w:rsidRDefault="006E68E3" w:rsidP="006E68E3">
      <w:pPr>
        <w:jc w:val="both"/>
        <w:rPr>
          <w:rFonts w:ascii="Cambria" w:hAnsi="Cambria"/>
          <w:sz w:val="24"/>
          <w:szCs w:val="32"/>
          <w:lang w:val="en-AU"/>
        </w:rPr>
      </w:pPr>
      <w:r w:rsidRPr="006E68E3">
        <w:rPr>
          <w:rFonts w:ascii="Cambria" w:hAnsi="Cambria"/>
          <w:sz w:val="24"/>
          <w:szCs w:val="32"/>
          <w:lang w:val="en-AU"/>
        </w:rPr>
        <w:t>Three misreadings recur among business operators and deserve doctrinal attention rather than repetition. The first is the private-use fallacy, which treats a consumer subscription to a streaming platform as a licence for public performance. The exception for personal use in Article 43 of the Copyright Law is precisely that, an exception for use that does not extend the work to the public; it cannot be stretched to cover playback that is an input to a commercial service.</w:t>
      </w:r>
      <w:r w:rsidRPr="006E68E3">
        <w:rPr>
          <w:rFonts w:ascii="Cambria" w:hAnsi="Cambria"/>
          <w:sz w:val="24"/>
          <w:szCs w:val="32"/>
          <w:vertAlign w:val="superscript"/>
          <w:lang w:val="en-AU"/>
        </w:rPr>
        <w:footnoteReference w:id="26"/>
      </w:r>
      <w:r w:rsidRPr="006E68E3">
        <w:rPr>
          <w:rFonts w:ascii="Cambria" w:hAnsi="Cambria"/>
          <w:sz w:val="24"/>
          <w:szCs w:val="32"/>
          <w:lang w:val="en-AU"/>
        </w:rPr>
        <w:t xml:space="preserve"> The second is the atmosphere fallacy, which supposes that background music is somehow less than a performance. Indonesian law does not grade communication to the public by volume or prominence; the trigger is commercial context, not audibility. The third is the direct-licence fallacy, which supposes that paying an artist or a label discharges the obligation. Under the blanket licence architecture, payment runs through the collective institution, and the Constitutional Court has now confirmed that the blanket mechanism is distinct in kind from a direct licence.</w:t>
      </w:r>
      <w:r w:rsidRPr="006E68E3">
        <w:rPr>
          <w:rFonts w:ascii="Cambria" w:hAnsi="Cambria"/>
          <w:sz w:val="24"/>
          <w:szCs w:val="32"/>
          <w:vertAlign w:val="superscript"/>
          <w:lang w:val="en-AU"/>
        </w:rPr>
        <w:footnoteReference w:id="27"/>
      </w:r>
    </w:p>
    <w:p w14:paraId="0B46254E" w14:textId="77777777" w:rsidR="006E68E3" w:rsidRPr="006E68E3" w:rsidRDefault="006E68E3" w:rsidP="006E68E3">
      <w:pPr>
        <w:jc w:val="both"/>
        <w:rPr>
          <w:rFonts w:ascii="Cambria" w:hAnsi="Cambria"/>
          <w:sz w:val="24"/>
          <w:szCs w:val="32"/>
          <w:lang w:val="en-ID"/>
        </w:rPr>
      </w:pPr>
      <w:r w:rsidRPr="006E68E3">
        <w:rPr>
          <w:rFonts w:ascii="Cambria" w:hAnsi="Cambria"/>
          <w:sz w:val="24"/>
          <w:szCs w:val="32"/>
          <w:lang w:val="en-AU"/>
        </w:rPr>
        <w:t>What is analytically more interesting than these errors is the collection architecture that makes them consequential. Indonesian royalty collection for commercial premises operates on self-assessment: the user is expected to compute the chargeable base, report it, and pay.</w:t>
      </w:r>
      <w:r w:rsidRPr="006E68E3">
        <w:rPr>
          <w:rFonts w:ascii="Cambria" w:hAnsi="Cambria"/>
          <w:sz w:val="24"/>
          <w:szCs w:val="32"/>
          <w:vertAlign w:val="superscript"/>
          <w:lang w:val="en-AU"/>
        </w:rPr>
        <w:footnoteReference w:id="28"/>
      </w:r>
      <w:r w:rsidRPr="006E68E3">
        <w:rPr>
          <w:rFonts w:ascii="Cambria" w:hAnsi="Cambria"/>
          <w:sz w:val="24"/>
          <w:szCs w:val="32"/>
          <w:lang w:val="en-AU"/>
        </w:rPr>
        <w:t xml:space="preserve"> Self-assessment is a defensible design where the taxpayer knows the obligation and the collector can audit. Here neither </w:t>
      </w:r>
      <w:r w:rsidRPr="006E68E3">
        <w:rPr>
          <w:rFonts w:ascii="Cambria" w:hAnsi="Cambria"/>
          <w:sz w:val="24"/>
          <w:szCs w:val="32"/>
          <w:lang w:val="en-AU"/>
        </w:rPr>
        <w:lastRenderedPageBreak/>
        <w:t>condition holds. The user frequently does not know the obligation exists, and the collecting institution has no inspection power comparable to a tax authority, which is why a commissioner of the national institution could describe the occupancy input as information only the venue owner possesses.</w:t>
      </w:r>
      <w:r w:rsidRPr="006E68E3">
        <w:rPr>
          <w:rFonts w:ascii="Cambria" w:hAnsi="Cambria"/>
          <w:sz w:val="24"/>
          <w:szCs w:val="32"/>
          <w:vertAlign w:val="superscript"/>
          <w:lang w:val="en-AU"/>
        </w:rPr>
        <w:footnoteReference w:id="29"/>
      </w:r>
      <w:r w:rsidRPr="006E68E3">
        <w:rPr>
          <w:rFonts w:ascii="Cambria" w:hAnsi="Cambria"/>
          <w:sz w:val="24"/>
          <w:szCs w:val="32"/>
          <w:lang w:val="en-AU"/>
        </w:rPr>
        <w:t xml:space="preserve"> A self-assessment system without audit capability and without an administrative sanction is not a collection system; it is a request. That is the structural finding, and it explains the aggregate data far better than any account premised on individual bad faith</w:t>
      </w:r>
      <w:r w:rsidRPr="006E68E3">
        <w:rPr>
          <w:rFonts w:ascii="Cambria" w:hAnsi="Cambria"/>
          <w:sz w:val="24"/>
          <w:szCs w:val="32"/>
          <w:lang w:val="en-ID"/>
        </w:rPr>
        <w:t xml:space="preserve"> </w:t>
      </w:r>
    </w:p>
    <w:p w14:paraId="7516A72E" w14:textId="77777777" w:rsidR="006E68E3" w:rsidRPr="006E68E3" w:rsidRDefault="006E68E3" w:rsidP="006E68E3">
      <w:pPr>
        <w:spacing w:after="120"/>
        <w:jc w:val="both"/>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The tariff is fixed and public. For music-playing culinary businesses in the restaurant and café category, royalties are set per seat per year: IDR 60,000 for the creators’ side and IDR 60,000 for the related-rights side, giving IDR 120,000 per seat per year, with payment due at least annually.</w:t>
      </w:r>
      <w:r w:rsidRPr="006E68E3">
        <w:rPr>
          <w:rFonts w:ascii="Cambria" w:eastAsia="Cambria" w:hAnsi="Cambria" w:cs="Times New Roman"/>
          <w:sz w:val="24"/>
          <w:szCs w:val="24"/>
          <w:vertAlign w:val="superscript"/>
          <w:lang w:val="en-AU" w:eastAsia="en-AU" w:bidi="ar-SA"/>
        </w:rPr>
        <w:footnoteReference w:id="30"/>
      </w:r>
      <w:r w:rsidRPr="006E68E3">
        <w:rPr>
          <w:rFonts w:ascii="Cambria" w:eastAsia="Cambria" w:hAnsi="Cambria" w:cs="Times New Roman"/>
          <w:sz w:val="24"/>
          <w:szCs w:val="24"/>
          <w:lang w:val="en-AU" w:eastAsia="en-AU" w:bidi="ar-SA"/>
        </w:rPr>
        <w:t xml:space="preserve"> Dividing the settlement by that tariff yields approximately 18,871 chargeable seat-years. Distributing that figure across plausible operating scenarios produces Table 2.</w:t>
      </w:r>
    </w:p>
    <w:p w14:paraId="01188A73" w14:textId="77777777" w:rsidR="006E68E3" w:rsidRPr="006E68E3" w:rsidRDefault="006E68E3" w:rsidP="006E68E3">
      <w:pPr>
        <w:spacing w:before="200" w:after="80"/>
        <w:jc w:val="center"/>
        <w:rPr>
          <w:rFonts w:ascii="Cambria" w:eastAsia="Cambria" w:hAnsi="Cambria" w:cs="Times New Roman"/>
          <w:sz w:val="24"/>
          <w:szCs w:val="24"/>
          <w:lang w:val="en-AU" w:eastAsia="en-AU" w:bidi="ar-SA"/>
        </w:rPr>
      </w:pPr>
      <w:r w:rsidRPr="006E68E3">
        <w:rPr>
          <w:rFonts w:ascii="Cambria" w:eastAsia="Cambria" w:hAnsi="Cambria" w:cs="Times New Roman"/>
          <w:b/>
          <w:bCs/>
          <w:sz w:val="24"/>
          <w:szCs w:val="24"/>
          <w:lang w:val="en-AU" w:eastAsia="en-AU" w:bidi="ar-SA"/>
        </w:rPr>
        <w:t>Table 2.</w:t>
      </w:r>
      <w:r w:rsidRPr="006E68E3">
        <w:rPr>
          <w:rFonts w:ascii="Cambria" w:eastAsia="Cambria" w:hAnsi="Cambria" w:cs="Times New Roman"/>
          <w:sz w:val="24"/>
          <w:szCs w:val="24"/>
          <w:lang w:val="en-AU" w:eastAsia="en-AU" w:bidi="ar-SA"/>
        </w:rPr>
        <w:t xml:space="preserve"> Reconstruction of the Settlement Against the Statutory Tariff</w:t>
      </w:r>
    </w:p>
    <w:tbl>
      <w:tblPr>
        <w:tblW w:w="9100" w:type="dxa"/>
        <w:tblBorders>
          <w:top w:val="single" w:sz="6" w:space="0" w:color="000000"/>
          <w:bottom w:val="single" w:sz="6" w:space="0" w:color="000000"/>
          <w:insideH w:val="single" w:sz="6" w:space="0" w:color="000000"/>
        </w:tblBorders>
        <w:tblCellMar>
          <w:left w:w="10" w:type="dxa"/>
          <w:right w:w="10" w:type="dxa"/>
        </w:tblCellMar>
        <w:tblLook w:val="04A0" w:firstRow="1" w:lastRow="0" w:firstColumn="1" w:lastColumn="0" w:noHBand="0" w:noVBand="1"/>
      </w:tblPr>
      <w:tblGrid>
        <w:gridCol w:w="3400"/>
        <w:gridCol w:w="2000"/>
        <w:gridCol w:w="1900"/>
        <w:gridCol w:w="1800"/>
      </w:tblGrid>
      <w:tr w:rsidR="006E68E3" w:rsidRPr="006E68E3" w14:paraId="2D27915C" w14:textId="77777777">
        <w:trPr>
          <w:tblHeader/>
        </w:trPr>
        <w:tc>
          <w:tcPr>
            <w:tcW w:w="3400" w:type="dxa"/>
            <w:tcBorders>
              <w:top w:val="single" w:sz="6" w:space="0" w:color="000000"/>
              <w:left w:val="nil"/>
              <w:bottom w:val="single" w:sz="6" w:space="0" w:color="000000"/>
              <w:right w:val="nil"/>
            </w:tcBorders>
            <w:tcMar>
              <w:top w:w="60" w:type="dxa"/>
              <w:left w:w="90" w:type="dxa"/>
              <w:bottom w:w="60" w:type="dxa"/>
              <w:right w:w="90" w:type="dxa"/>
            </w:tcMar>
            <w:hideMark/>
          </w:tcPr>
          <w:p w14:paraId="2583FF46" w14:textId="77777777" w:rsidR="006E68E3" w:rsidRPr="006E68E3" w:rsidRDefault="006E68E3" w:rsidP="006E68E3">
            <w:pPr>
              <w:spacing w:after="0"/>
              <w:rPr>
                <w:rFonts w:ascii="Cambria" w:eastAsia="Cambria" w:hAnsi="Cambria" w:cs="Times New Roman"/>
                <w:sz w:val="24"/>
                <w:szCs w:val="24"/>
                <w:lang w:val="en-AU" w:eastAsia="en-AU" w:bidi="ar-SA"/>
              </w:rPr>
            </w:pPr>
            <w:r w:rsidRPr="006E68E3">
              <w:rPr>
                <w:rFonts w:ascii="Cambria" w:eastAsia="Cambria" w:hAnsi="Cambria" w:cs="Times New Roman"/>
                <w:b/>
                <w:bCs/>
                <w:sz w:val="24"/>
                <w:szCs w:val="24"/>
                <w:lang w:val="en-AU" w:eastAsia="en-AU" w:bidi="ar-SA"/>
              </w:rPr>
              <w:t>Scenario (outlets × years charged)</w:t>
            </w:r>
          </w:p>
        </w:tc>
        <w:tc>
          <w:tcPr>
            <w:tcW w:w="2000" w:type="dxa"/>
            <w:tcBorders>
              <w:top w:val="single" w:sz="6" w:space="0" w:color="000000"/>
              <w:left w:val="nil"/>
              <w:bottom w:val="single" w:sz="6" w:space="0" w:color="000000"/>
              <w:right w:val="nil"/>
            </w:tcBorders>
            <w:tcMar>
              <w:top w:w="60" w:type="dxa"/>
              <w:left w:w="90" w:type="dxa"/>
              <w:bottom w:w="60" w:type="dxa"/>
              <w:right w:w="90" w:type="dxa"/>
            </w:tcMar>
            <w:hideMark/>
          </w:tcPr>
          <w:p w14:paraId="53E4DB53" w14:textId="77777777" w:rsidR="006E68E3" w:rsidRPr="006E68E3" w:rsidRDefault="006E68E3" w:rsidP="006E68E3">
            <w:pPr>
              <w:spacing w:after="0"/>
              <w:rPr>
                <w:rFonts w:ascii="Cambria" w:eastAsia="Cambria" w:hAnsi="Cambria" w:cs="Times New Roman"/>
                <w:sz w:val="24"/>
                <w:szCs w:val="24"/>
                <w:lang w:val="en-AU" w:eastAsia="en-AU" w:bidi="ar-SA"/>
              </w:rPr>
            </w:pPr>
            <w:r w:rsidRPr="006E68E3">
              <w:rPr>
                <w:rFonts w:ascii="Cambria" w:eastAsia="Cambria" w:hAnsi="Cambria" w:cs="Times New Roman"/>
                <w:b/>
                <w:bCs/>
                <w:sz w:val="24"/>
                <w:szCs w:val="24"/>
                <w:lang w:val="en-AU" w:eastAsia="en-AU" w:bidi="ar-SA"/>
              </w:rPr>
              <w:t>Outlet-years</w:t>
            </w:r>
          </w:p>
        </w:tc>
        <w:tc>
          <w:tcPr>
            <w:tcW w:w="1900" w:type="dxa"/>
            <w:tcBorders>
              <w:top w:val="single" w:sz="6" w:space="0" w:color="000000"/>
              <w:left w:val="nil"/>
              <w:bottom w:val="single" w:sz="6" w:space="0" w:color="000000"/>
              <w:right w:val="nil"/>
            </w:tcBorders>
            <w:tcMar>
              <w:top w:w="60" w:type="dxa"/>
              <w:left w:w="90" w:type="dxa"/>
              <w:bottom w:w="60" w:type="dxa"/>
              <w:right w:w="90" w:type="dxa"/>
            </w:tcMar>
            <w:hideMark/>
          </w:tcPr>
          <w:p w14:paraId="0DBEDBA8" w14:textId="77777777" w:rsidR="006E68E3" w:rsidRPr="006E68E3" w:rsidRDefault="006E68E3" w:rsidP="006E68E3">
            <w:pPr>
              <w:spacing w:after="0"/>
              <w:rPr>
                <w:rFonts w:ascii="Cambria" w:eastAsia="Cambria" w:hAnsi="Cambria" w:cs="Times New Roman"/>
                <w:sz w:val="24"/>
                <w:szCs w:val="24"/>
                <w:lang w:val="en-AU" w:eastAsia="en-AU" w:bidi="ar-SA"/>
              </w:rPr>
            </w:pPr>
            <w:r w:rsidRPr="006E68E3">
              <w:rPr>
                <w:rFonts w:ascii="Cambria" w:eastAsia="Cambria" w:hAnsi="Cambria" w:cs="Times New Roman"/>
                <w:b/>
                <w:bCs/>
                <w:sz w:val="24"/>
                <w:szCs w:val="24"/>
                <w:lang w:val="en-AU" w:eastAsia="en-AU" w:bidi="ar-SA"/>
              </w:rPr>
              <w:t>Implied chargeable seats per outlet</w:t>
            </w:r>
          </w:p>
        </w:tc>
        <w:tc>
          <w:tcPr>
            <w:tcW w:w="1800" w:type="dxa"/>
            <w:tcBorders>
              <w:top w:val="single" w:sz="6" w:space="0" w:color="000000"/>
              <w:left w:val="nil"/>
              <w:bottom w:val="single" w:sz="6" w:space="0" w:color="000000"/>
              <w:right w:val="nil"/>
            </w:tcBorders>
            <w:tcMar>
              <w:top w:w="60" w:type="dxa"/>
              <w:left w:w="90" w:type="dxa"/>
              <w:bottom w:w="60" w:type="dxa"/>
              <w:right w:w="90" w:type="dxa"/>
            </w:tcMar>
            <w:hideMark/>
          </w:tcPr>
          <w:p w14:paraId="6DFD6564" w14:textId="77777777" w:rsidR="006E68E3" w:rsidRPr="006E68E3" w:rsidRDefault="006E68E3" w:rsidP="006E68E3">
            <w:pPr>
              <w:spacing w:after="0"/>
              <w:rPr>
                <w:rFonts w:ascii="Cambria" w:eastAsia="Cambria" w:hAnsi="Cambria" w:cs="Times New Roman"/>
                <w:sz w:val="24"/>
                <w:szCs w:val="24"/>
                <w:lang w:val="en-AU" w:eastAsia="en-AU" w:bidi="ar-SA"/>
              </w:rPr>
            </w:pPr>
            <w:r w:rsidRPr="006E68E3">
              <w:rPr>
                <w:rFonts w:ascii="Cambria" w:eastAsia="Cambria" w:hAnsi="Cambria" w:cs="Times New Roman"/>
                <w:b/>
                <w:bCs/>
                <w:sz w:val="24"/>
                <w:szCs w:val="24"/>
                <w:lang w:val="en-AU" w:eastAsia="en-AU" w:bidi="ar-SA"/>
              </w:rPr>
              <w:t>Implied royalty per outlet-year (IDR)</w:t>
            </w:r>
          </w:p>
        </w:tc>
      </w:tr>
      <w:tr w:rsidR="006E68E3" w:rsidRPr="006E68E3" w14:paraId="79660E74" w14:textId="77777777">
        <w:tc>
          <w:tcPr>
            <w:tcW w:w="3400" w:type="dxa"/>
            <w:tcBorders>
              <w:top w:val="single" w:sz="6" w:space="0" w:color="000000"/>
              <w:left w:val="nil"/>
              <w:bottom w:val="single" w:sz="6" w:space="0" w:color="000000"/>
              <w:right w:val="nil"/>
            </w:tcBorders>
            <w:tcMar>
              <w:top w:w="60" w:type="dxa"/>
              <w:left w:w="90" w:type="dxa"/>
              <w:bottom w:w="60" w:type="dxa"/>
              <w:right w:w="90" w:type="dxa"/>
            </w:tcMar>
            <w:hideMark/>
          </w:tcPr>
          <w:p w14:paraId="62003CC7" w14:textId="77777777" w:rsidR="006E68E3" w:rsidRPr="006E68E3" w:rsidRDefault="006E68E3" w:rsidP="006E68E3">
            <w:pPr>
              <w:spacing w:after="0"/>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65 × 4.0 (full 2022–2025)</w:t>
            </w:r>
          </w:p>
        </w:tc>
        <w:tc>
          <w:tcPr>
            <w:tcW w:w="2000" w:type="dxa"/>
            <w:tcBorders>
              <w:top w:val="single" w:sz="6" w:space="0" w:color="000000"/>
              <w:left w:val="nil"/>
              <w:bottom w:val="single" w:sz="6" w:space="0" w:color="000000"/>
              <w:right w:val="nil"/>
            </w:tcBorders>
            <w:tcMar>
              <w:top w:w="60" w:type="dxa"/>
              <w:left w:w="90" w:type="dxa"/>
              <w:bottom w:w="60" w:type="dxa"/>
              <w:right w:w="90" w:type="dxa"/>
            </w:tcMar>
            <w:hideMark/>
          </w:tcPr>
          <w:p w14:paraId="3E288DA3" w14:textId="77777777" w:rsidR="006E68E3" w:rsidRPr="006E68E3" w:rsidRDefault="006E68E3" w:rsidP="006E68E3">
            <w:pPr>
              <w:spacing w:after="0"/>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260.0</w:t>
            </w:r>
          </w:p>
        </w:tc>
        <w:tc>
          <w:tcPr>
            <w:tcW w:w="1900" w:type="dxa"/>
            <w:tcBorders>
              <w:top w:val="single" w:sz="6" w:space="0" w:color="000000"/>
              <w:left w:val="nil"/>
              <w:bottom w:val="single" w:sz="6" w:space="0" w:color="000000"/>
              <w:right w:val="nil"/>
            </w:tcBorders>
            <w:tcMar>
              <w:top w:w="60" w:type="dxa"/>
              <w:left w:w="90" w:type="dxa"/>
              <w:bottom w:w="60" w:type="dxa"/>
              <w:right w:w="90" w:type="dxa"/>
            </w:tcMar>
            <w:hideMark/>
          </w:tcPr>
          <w:p w14:paraId="34CE7CE8" w14:textId="77777777" w:rsidR="006E68E3" w:rsidRPr="006E68E3" w:rsidRDefault="006E68E3" w:rsidP="006E68E3">
            <w:pPr>
              <w:spacing w:after="0"/>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72.6</w:t>
            </w:r>
          </w:p>
        </w:tc>
        <w:tc>
          <w:tcPr>
            <w:tcW w:w="1800" w:type="dxa"/>
            <w:tcBorders>
              <w:top w:val="single" w:sz="6" w:space="0" w:color="000000"/>
              <w:left w:val="nil"/>
              <w:bottom w:val="single" w:sz="6" w:space="0" w:color="000000"/>
              <w:right w:val="nil"/>
            </w:tcBorders>
            <w:tcMar>
              <w:top w:w="60" w:type="dxa"/>
              <w:left w:w="90" w:type="dxa"/>
              <w:bottom w:w="60" w:type="dxa"/>
              <w:right w:w="90" w:type="dxa"/>
            </w:tcMar>
            <w:hideMark/>
          </w:tcPr>
          <w:p w14:paraId="709AB030" w14:textId="77777777" w:rsidR="006E68E3" w:rsidRPr="006E68E3" w:rsidRDefault="006E68E3" w:rsidP="006E68E3">
            <w:pPr>
              <w:spacing w:after="0"/>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8,709,623</w:t>
            </w:r>
          </w:p>
        </w:tc>
      </w:tr>
      <w:tr w:rsidR="006E68E3" w:rsidRPr="006E68E3" w14:paraId="66BFC95B" w14:textId="77777777">
        <w:tc>
          <w:tcPr>
            <w:tcW w:w="3400" w:type="dxa"/>
            <w:tcBorders>
              <w:top w:val="single" w:sz="6" w:space="0" w:color="000000"/>
              <w:left w:val="nil"/>
              <w:bottom w:val="single" w:sz="6" w:space="0" w:color="000000"/>
              <w:right w:val="nil"/>
            </w:tcBorders>
            <w:tcMar>
              <w:top w:w="60" w:type="dxa"/>
              <w:left w:w="90" w:type="dxa"/>
              <w:bottom w:w="60" w:type="dxa"/>
              <w:right w:w="90" w:type="dxa"/>
            </w:tcMar>
            <w:hideMark/>
          </w:tcPr>
          <w:p w14:paraId="5B45836E" w14:textId="77777777" w:rsidR="006E68E3" w:rsidRPr="006E68E3" w:rsidRDefault="006E68E3" w:rsidP="006E68E3">
            <w:pPr>
              <w:spacing w:after="0"/>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65 × 3.5 (staggered openings)</w:t>
            </w:r>
          </w:p>
        </w:tc>
        <w:tc>
          <w:tcPr>
            <w:tcW w:w="2000" w:type="dxa"/>
            <w:tcBorders>
              <w:top w:val="single" w:sz="6" w:space="0" w:color="000000"/>
              <w:left w:val="nil"/>
              <w:bottom w:val="single" w:sz="6" w:space="0" w:color="000000"/>
              <w:right w:val="nil"/>
            </w:tcBorders>
            <w:tcMar>
              <w:top w:w="60" w:type="dxa"/>
              <w:left w:w="90" w:type="dxa"/>
              <w:bottom w:w="60" w:type="dxa"/>
              <w:right w:w="90" w:type="dxa"/>
            </w:tcMar>
            <w:hideMark/>
          </w:tcPr>
          <w:p w14:paraId="14D00694" w14:textId="77777777" w:rsidR="006E68E3" w:rsidRPr="006E68E3" w:rsidRDefault="006E68E3" w:rsidP="006E68E3">
            <w:pPr>
              <w:spacing w:after="0"/>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227.5</w:t>
            </w:r>
          </w:p>
        </w:tc>
        <w:tc>
          <w:tcPr>
            <w:tcW w:w="1900" w:type="dxa"/>
            <w:tcBorders>
              <w:top w:val="single" w:sz="6" w:space="0" w:color="000000"/>
              <w:left w:val="nil"/>
              <w:bottom w:val="single" w:sz="6" w:space="0" w:color="000000"/>
              <w:right w:val="nil"/>
            </w:tcBorders>
            <w:tcMar>
              <w:top w:w="60" w:type="dxa"/>
              <w:left w:w="90" w:type="dxa"/>
              <w:bottom w:w="60" w:type="dxa"/>
              <w:right w:w="90" w:type="dxa"/>
            </w:tcMar>
            <w:hideMark/>
          </w:tcPr>
          <w:p w14:paraId="0B9919A9" w14:textId="77777777" w:rsidR="006E68E3" w:rsidRPr="006E68E3" w:rsidRDefault="006E68E3" w:rsidP="006E68E3">
            <w:pPr>
              <w:spacing w:after="0"/>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82.9</w:t>
            </w:r>
          </w:p>
        </w:tc>
        <w:tc>
          <w:tcPr>
            <w:tcW w:w="1800" w:type="dxa"/>
            <w:tcBorders>
              <w:top w:val="single" w:sz="6" w:space="0" w:color="000000"/>
              <w:left w:val="nil"/>
              <w:bottom w:val="single" w:sz="6" w:space="0" w:color="000000"/>
              <w:right w:val="nil"/>
            </w:tcBorders>
            <w:tcMar>
              <w:top w:w="60" w:type="dxa"/>
              <w:left w:w="90" w:type="dxa"/>
              <w:bottom w:w="60" w:type="dxa"/>
              <w:right w:w="90" w:type="dxa"/>
            </w:tcMar>
            <w:hideMark/>
          </w:tcPr>
          <w:p w14:paraId="0B7A1D39" w14:textId="77777777" w:rsidR="006E68E3" w:rsidRPr="006E68E3" w:rsidRDefault="006E68E3" w:rsidP="006E68E3">
            <w:pPr>
              <w:spacing w:after="0"/>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9,953,855</w:t>
            </w:r>
          </w:p>
        </w:tc>
      </w:tr>
      <w:tr w:rsidR="006E68E3" w:rsidRPr="006E68E3" w14:paraId="57B573CD" w14:textId="77777777">
        <w:tc>
          <w:tcPr>
            <w:tcW w:w="3400" w:type="dxa"/>
            <w:tcBorders>
              <w:top w:val="single" w:sz="6" w:space="0" w:color="000000"/>
              <w:left w:val="nil"/>
              <w:bottom w:val="single" w:sz="6" w:space="0" w:color="000000"/>
              <w:right w:val="nil"/>
            </w:tcBorders>
            <w:tcMar>
              <w:top w:w="60" w:type="dxa"/>
              <w:left w:w="90" w:type="dxa"/>
              <w:bottom w:w="60" w:type="dxa"/>
              <w:right w:w="90" w:type="dxa"/>
            </w:tcMar>
            <w:hideMark/>
          </w:tcPr>
          <w:p w14:paraId="669C83FE" w14:textId="77777777" w:rsidR="006E68E3" w:rsidRPr="006E68E3" w:rsidRDefault="006E68E3" w:rsidP="006E68E3">
            <w:pPr>
              <w:spacing w:after="0"/>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65 × 3.0 (three chargeable years)</w:t>
            </w:r>
          </w:p>
        </w:tc>
        <w:tc>
          <w:tcPr>
            <w:tcW w:w="2000" w:type="dxa"/>
            <w:tcBorders>
              <w:top w:val="single" w:sz="6" w:space="0" w:color="000000"/>
              <w:left w:val="nil"/>
              <w:bottom w:val="single" w:sz="6" w:space="0" w:color="000000"/>
              <w:right w:val="nil"/>
            </w:tcBorders>
            <w:tcMar>
              <w:top w:w="60" w:type="dxa"/>
              <w:left w:w="90" w:type="dxa"/>
              <w:bottom w:w="60" w:type="dxa"/>
              <w:right w:w="90" w:type="dxa"/>
            </w:tcMar>
            <w:hideMark/>
          </w:tcPr>
          <w:p w14:paraId="1D80A29C" w14:textId="77777777" w:rsidR="006E68E3" w:rsidRPr="006E68E3" w:rsidRDefault="006E68E3" w:rsidP="006E68E3">
            <w:pPr>
              <w:spacing w:after="0"/>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195.0</w:t>
            </w:r>
          </w:p>
        </w:tc>
        <w:tc>
          <w:tcPr>
            <w:tcW w:w="1900" w:type="dxa"/>
            <w:tcBorders>
              <w:top w:val="single" w:sz="6" w:space="0" w:color="000000"/>
              <w:left w:val="nil"/>
              <w:bottom w:val="single" w:sz="6" w:space="0" w:color="000000"/>
              <w:right w:val="nil"/>
            </w:tcBorders>
            <w:tcMar>
              <w:top w:w="60" w:type="dxa"/>
              <w:left w:w="90" w:type="dxa"/>
              <w:bottom w:w="60" w:type="dxa"/>
              <w:right w:w="90" w:type="dxa"/>
            </w:tcMar>
            <w:hideMark/>
          </w:tcPr>
          <w:p w14:paraId="6AEAED65" w14:textId="77777777" w:rsidR="006E68E3" w:rsidRPr="006E68E3" w:rsidRDefault="006E68E3" w:rsidP="006E68E3">
            <w:pPr>
              <w:spacing w:after="0"/>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96.8</w:t>
            </w:r>
          </w:p>
        </w:tc>
        <w:tc>
          <w:tcPr>
            <w:tcW w:w="1800" w:type="dxa"/>
            <w:tcBorders>
              <w:top w:val="single" w:sz="6" w:space="0" w:color="000000"/>
              <w:left w:val="nil"/>
              <w:bottom w:val="single" w:sz="6" w:space="0" w:color="000000"/>
              <w:right w:val="nil"/>
            </w:tcBorders>
            <w:tcMar>
              <w:top w:w="60" w:type="dxa"/>
              <w:left w:w="90" w:type="dxa"/>
              <w:bottom w:w="60" w:type="dxa"/>
              <w:right w:w="90" w:type="dxa"/>
            </w:tcMar>
            <w:hideMark/>
          </w:tcPr>
          <w:p w14:paraId="51A23AC5" w14:textId="77777777" w:rsidR="006E68E3" w:rsidRPr="006E68E3" w:rsidRDefault="006E68E3" w:rsidP="006E68E3">
            <w:pPr>
              <w:spacing w:after="0"/>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11,612,831</w:t>
            </w:r>
          </w:p>
        </w:tc>
      </w:tr>
      <w:tr w:rsidR="006E68E3" w:rsidRPr="006E68E3" w14:paraId="5916AF4A" w14:textId="77777777">
        <w:tc>
          <w:tcPr>
            <w:tcW w:w="3400" w:type="dxa"/>
            <w:tcBorders>
              <w:top w:val="single" w:sz="6" w:space="0" w:color="000000"/>
              <w:left w:val="nil"/>
              <w:bottom w:val="single" w:sz="6" w:space="0" w:color="000000"/>
              <w:right w:val="nil"/>
            </w:tcBorders>
            <w:tcMar>
              <w:top w:w="60" w:type="dxa"/>
              <w:left w:w="90" w:type="dxa"/>
              <w:bottom w:w="60" w:type="dxa"/>
              <w:right w:w="90" w:type="dxa"/>
            </w:tcMar>
            <w:hideMark/>
          </w:tcPr>
          <w:p w14:paraId="67287050" w14:textId="77777777" w:rsidR="006E68E3" w:rsidRPr="006E68E3" w:rsidRDefault="006E68E3" w:rsidP="006E68E3">
            <w:pPr>
              <w:spacing w:after="0"/>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 xml:space="preserve">50 </w:t>
            </w:r>
            <w:proofErr w:type="gramStart"/>
            <w:r w:rsidRPr="006E68E3">
              <w:rPr>
                <w:rFonts w:ascii="Cambria" w:eastAsia="Cambria" w:hAnsi="Cambria" w:cs="Times New Roman"/>
                <w:sz w:val="24"/>
                <w:szCs w:val="24"/>
                <w:lang w:val="en-AU" w:eastAsia="en-AU" w:bidi="ar-SA"/>
              </w:rPr>
              <w:t>average</w:t>
            </w:r>
            <w:proofErr w:type="gramEnd"/>
            <w:r w:rsidRPr="006E68E3">
              <w:rPr>
                <w:rFonts w:ascii="Cambria" w:eastAsia="Cambria" w:hAnsi="Cambria" w:cs="Times New Roman"/>
                <w:sz w:val="24"/>
                <w:szCs w:val="24"/>
                <w:lang w:val="en-AU" w:eastAsia="en-AU" w:bidi="ar-SA"/>
              </w:rPr>
              <w:t xml:space="preserve"> × 4.0 (growth-adjusted)</w:t>
            </w:r>
          </w:p>
        </w:tc>
        <w:tc>
          <w:tcPr>
            <w:tcW w:w="2000" w:type="dxa"/>
            <w:tcBorders>
              <w:top w:val="single" w:sz="6" w:space="0" w:color="000000"/>
              <w:left w:val="nil"/>
              <w:bottom w:val="single" w:sz="6" w:space="0" w:color="000000"/>
              <w:right w:val="nil"/>
            </w:tcBorders>
            <w:tcMar>
              <w:top w:w="60" w:type="dxa"/>
              <w:left w:w="90" w:type="dxa"/>
              <w:bottom w:w="60" w:type="dxa"/>
              <w:right w:w="90" w:type="dxa"/>
            </w:tcMar>
            <w:hideMark/>
          </w:tcPr>
          <w:p w14:paraId="15699C09" w14:textId="77777777" w:rsidR="006E68E3" w:rsidRPr="006E68E3" w:rsidRDefault="006E68E3" w:rsidP="006E68E3">
            <w:pPr>
              <w:spacing w:after="0"/>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200.0</w:t>
            </w:r>
          </w:p>
        </w:tc>
        <w:tc>
          <w:tcPr>
            <w:tcW w:w="1900" w:type="dxa"/>
            <w:tcBorders>
              <w:top w:val="single" w:sz="6" w:space="0" w:color="000000"/>
              <w:left w:val="nil"/>
              <w:bottom w:val="single" w:sz="6" w:space="0" w:color="000000"/>
              <w:right w:val="nil"/>
            </w:tcBorders>
            <w:tcMar>
              <w:top w:w="60" w:type="dxa"/>
              <w:left w:w="90" w:type="dxa"/>
              <w:bottom w:w="60" w:type="dxa"/>
              <w:right w:w="90" w:type="dxa"/>
            </w:tcMar>
            <w:hideMark/>
          </w:tcPr>
          <w:p w14:paraId="0F93B920" w14:textId="77777777" w:rsidR="006E68E3" w:rsidRPr="006E68E3" w:rsidRDefault="006E68E3" w:rsidP="006E68E3">
            <w:pPr>
              <w:spacing w:after="0"/>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94.4</w:t>
            </w:r>
          </w:p>
        </w:tc>
        <w:tc>
          <w:tcPr>
            <w:tcW w:w="1800" w:type="dxa"/>
            <w:tcBorders>
              <w:top w:val="single" w:sz="6" w:space="0" w:color="000000"/>
              <w:left w:val="nil"/>
              <w:bottom w:val="single" w:sz="6" w:space="0" w:color="000000"/>
              <w:right w:val="nil"/>
            </w:tcBorders>
            <w:tcMar>
              <w:top w:w="60" w:type="dxa"/>
              <w:left w:w="90" w:type="dxa"/>
              <w:bottom w:w="60" w:type="dxa"/>
              <w:right w:w="90" w:type="dxa"/>
            </w:tcMar>
            <w:hideMark/>
          </w:tcPr>
          <w:p w14:paraId="3131A86A" w14:textId="77777777" w:rsidR="006E68E3" w:rsidRPr="006E68E3" w:rsidRDefault="006E68E3" w:rsidP="006E68E3">
            <w:pPr>
              <w:spacing w:after="0"/>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11,322,510</w:t>
            </w:r>
          </w:p>
        </w:tc>
      </w:tr>
    </w:tbl>
    <w:p w14:paraId="564FA058" w14:textId="77777777" w:rsidR="006E68E3" w:rsidRPr="006E68E3" w:rsidRDefault="006E68E3" w:rsidP="006E68E3">
      <w:pPr>
        <w:spacing w:before="80"/>
        <w:jc w:val="both"/>
        <w:rPr>
          <w:rFonts w:ascii="Cambria" w:eastAsia="Cambria" w:hAnsi="Cambria" w:cs="Times New Roman"/>
          <w:sz w:val="24"/>
          <w:szCs w:val="24"/>
          <w:lang w:val="en-AU" w:eastAsia="en-AU" w:bidi="ar-SA"/>
        </w:rPr>
      </w:pPr>
      <w:r w:rsidRPr="006E68E3">
        <w:rPr>
          <w:rFonts w:ascii="Cambria" w:eastAsia="Cambria" w:hAnsi="Cambria" w:cs="Times New Roman"/>
          <w:i/>
          <w:iCs/>
          <w:sz w:val="24"/>
          <w:szCs w:val="24"/>
          <w:lang w:val="en-AU" w:eastAsia="en-AU" w:bidi="ar-SA"/>
        </w:rPr>
        <w:t>Source: Processed from the 2016 tariff decree and the published settlement figure of IDR 2,264,502,000, 2026. Assumptions: tariff of IDR 120,000 per seat per year; the calculation basis agreed by the parties was not published; occupancy adjustment applied by the collecting institution is not separately observable and is therefore absorbed into the implied seat figure.</w:t>
      </w:r>
    </w:p>
    <w:p w14:paraId="47C7307A" w14:textId="77777777" w:rsidR="006E68E3" w:rsidRPr="006E68E3" w:rsidRDefault="006E68E3" w:rsidP="006E68E3">
      <w:pPr>
        <w:spacing w:after="120"/>
        <w:jc w:val="both"/>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lastRenderedPageBreak/>
        <w:t>The reconstruction is instructive in two directions. It shows, first, that the settlement is consistent with a straightforward application of the published tariff to outlets of a plausible size, which undercuts the suggestion, common in public commentary, that the figure was arbitrary or punitive. An implied range of roughly seventy-three to ninety-seven chargeable seats per outlet is unremarkable for a chain of this format. The settlement was, in substance, the tariff. Second, and more importantly, it shows how small the annual obligation actually was. At between eight and twelve million rupiah per outlet per year, compliance would have cost the company an amount that is trivial against outlet-level revenue, and the entire national exposure for a single year would have been a fraction of the legal and reputational cost of the investigation that followed. The economic irrationality of non-compliance is the strongest available evidence that the failure was informational and organisational rather than strategic, which in turn is what makes the case a legal-culture problem rather than a deterrence problem in the classical sense.</w:t>
      </w:r>
    </w:p>
    <w:p w14:paraId="3F9B905D" w14:textId="77777777" w:rsidR="006E68E3" w:rsidRPr="006E68E3" w:rsidRDefault="006E68E3" w:rsidP="006E68E3">
      <w:pPr>
        <w:spacing w:after="120"/>
        <w:jc w:val="both"/>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Placing the figure in the national picture makes the point sharper still. Table 3 sets out collection and distribution performance.</w:t>
      </w:r>
    </w:p>
    <w:p w14:paraId="4DFE03AB" w14:textId="77777777" w:rsidR="006E68E3" w:rsidRPr="006E68E3" w:rsidRDefault="006E68E3" w:rsidP="006E68E3">
      <w:pPr>
        <w:spacing w:before="200" w:after="80"/>
        <w:jc w:val="center"/>
        <w:rPr>
          <w:rFonts w:ascii="Cambria" w:eastAsia="Cambria" w:hAnsi="Cambria" w:cs="Times New Roman"/>
          <w:sz w:val="24"/>
          <w:szCs w:val="24"/>
          <w:lang w:val="en-AU" w:eastAsia="en-AU" w:bidi="ar-SA"/>
        </w:rPr>
      </w:pPr>
      <w:r w:rsidRPr="006E68E3">
        <w:rPr>
          <w:rFonts w:ascii="Cambria" w:eastAsia="Cambria" w:hAnsi="Cambria" w:cs="Times New Roman"/>
          <w:b/>
          <w:bCs/>
          <w:sz w:val="24"/>
          <w:szCs w:val="24"/>
          <w:lang w:val="en-AU" w:eastAsia="en-AU" w:bidi="ar-SA"/>
        </w:rPr>
        <w:t>Table 3.</w:t>
      </w:r>
      <w:r w:rsidRPr="006E68E3">
        <w:rPr>
          <w:rFonts w:ascii="Cambria" w:eastAsia="Cambria" w:hAnsi="Cambria" w:cs="Times New Roman"/>
          <w:sz w:val="24"/>
          <w:szCs w:val="24"/>
          <w:lang w:val="en-AU" w:eastAsia="en-AU" w:bidi="ar-SA"/>
        </w:rPr>
        <w:t xml:space="preserve"> National Royalty Collection and Distribution, 2022–2025</w:t>
      </w:r>
    </w:p>
    <w:tbl>
      <w:tblPr>
        <w:tblW w:w="8505" w:type="dxa"/>
        <w:tblBorders>
          <w:top w:val="single" w:sz="6" w:space="0" w:color="000000"/>
          <w:bottom w:val="single" w:sz="6" w:space="0" w:color="000000"/>
          <w:insideH w:val="single" w:sz="6" w:space="0" w:color="000000"/>
        </w:tblBorders>
        <w:tblCellMar>
          <w:left w:w="10" w:type="dxa"/>
          <w:right w:w="10" w:type="dxa"/>
        </w:tblCellMar>
        <w:tblLook w:val="04A0" w:firstRow="1" w:lastRow="0" w:firstColumn="1" w:lastColumn="0" w:noHBand="0" w:noVBand="1"/>
      </w:tblPr>
      <w:tblGrid>
        <w:gridCol w:w="712"/>
        <w:gridCol w:w="2549"/>
        <w:gridCol w:w="3118"/>
        <w:gridCol w:w="2126"/>
      </w:tblGrid>
      <w:tr w:rsidR="006E68E3" w:rsidRPr="006E68E3" w14:paraId="5A209A8B" w14:textId="77777777" w:rsidTr="006E68E3">
        <w:trPr>
          <w:tblHeader/>
        </w:trPr>
        <w:tc>
          <w:tcPr>
            <w:tcW w:w="712" w:type="dxa"/>
            <w:tcBorders>
              <w:top w:val="single" w:sz="6" w:space="0" w:color="000000"/>
              <w:left w:val="nil"/>
              <w:bottom w:val="single" w:sz="6" w:space="0" w:color="000000"/>
              <w:right w:val="nil"/>
            </w:tcBorders>
            <w:tcMar>
              <w:top w:w="60" w:type="dxa"/>
              <w:left w:w="90" w:type="dxa"/>
              <w:bottom w:w="60" w:type="dxa"/>
              <w:right w:w="90" w:type="dxa"/>
            </w:tcMar>
            <w:hideMark/>
          </w:tcPr>
          <w:p w14:paraId="24DFA6B1" w14:textId="77777777" w:rsidR="006E68E3" w:rsidRPr="006E68E3" w:rsidRDefault="006E68E3" w:rsidP="006E68E3">
            <w:pPr>
              <w:spacing w:after="0"/>
              <w:rPr>
                <w:rFonts w:ascii="Cambria" w:eastAsia="Cambria" w:hAnsi="Cambria" w:cs="Times New Roman"/>
                <w:sz w:val="24"/>
                <w:szCs w:val="24"/>
                <w:lang w:val="en-AU" w:eastAsia="en-AU" w:bidi="ar-SA"/>
              </w:rPr>
            </w:pPr>
            <w:r w:rsidRPr="006E68E3">
              <w:rPr>
                <w:rFonts w:ascii="Cambria" w:eastAsia="Cambria" w:hAnsi="Cambria" w:cs="Times New Roman"/>
                <w:b/>
                <w:bCs/>
                <w:sz w:val="24"/>
                <w:szCs w:val="24"/>
                <w:lang w:val="en-AU" w:eastAsia="en-AU" w:bidi="ar-SA"/>
              </w:rPr>
              <w:t>Year</w:t>
            </w:r>
          </w:p>
        </w:tc>
        <w:tc>
          <w:tcPr>
            <w:tcW w:w="2549" w:type="dxa"/>
            <w:tcBorders>
              <w:top w:val="single" w:sz="6" w:space="0" w:color="000000"/>
              <w:left w:val="nil"/>
              <w:bottom w:val="single" w:sz="6" w:space="0" w:color="000000"/>
              <w:right w:val="nil"/>
            </w:tcBorders>
            <w:tcMar>
              <w:top w:w="60" w:type="dxa"/>
              <w:left w:w="90" w:type="dxa"/>
              <w:bottom w:w="60" w:type="dxa"/>
              <w:right w:w="90" w:type="dxa"/>
            </w:tcMar>
            <w:hideMark/>
          </w:tcPr>
          <w:p w14:paraId="330A9989" w14:textId="77777777" w:rsidR="006E68E3" w:rsidRPr="006E68E3" w:rsidRDefault="006E68E3" w:rsidP="006E68E3">
            <w:pPr>
              <w:spacing w:after="0"/>
              <w:rPr>
                <w:rFonts w:ascii="Cambria" w:eastAsia="Cambria" w:hAnsi="Cambria" w:cs="Times New Roman"/>
                <w:sz w:val="24"/>
                <w:szCs w:val="24"/>
                <w:lang w:val="en-AU" w:eastAsia="en-AU" w:bidi="ar-SA"/>
              </w:rPr>
            </w:pPr>
            <w:r w:rsidRPr="006E68E3">
              <w:rPr>
                <w:rFonts w:ascii="Cambria" w:eastAsia="Cambria" w:hAnsi="Cambria" w:cs="Times New Roman"/>
                <w:b/>
                <w:bCs/>
                <w:sz w:val="24"/>
                <w:szCs w:val="24"/>
                <w:lang w:val="en-AU" w:eastAsia="en-AU" w:bidi="ar-SA"/>
              </w:rPr>
              <w:t>Distribution to rights holders (IDR)</w:t>
            </w:r>
          </w:p>
        </w:tc>
        <w:tc>
          <w:tcPr>
            <w:tcW w:w="3118" w:type="dxa"/>
            <w:tcBorders>
              <w:top w:val="single" w:sz="6" w:space="0" w:color="000000"/>
              <w:left w:val="nil"/>
              <w:bottom w:val="single" w:sz="6" w:space="0" w:color="000000"/>
              <w:right w:val="nil"/>
            </w:tcBorders>
            <w:tcMar>
              <w:top w:w="60" w:type="dxa"/>
              <w:left w:w="90" w:type="dxa"/>
              <w:bottom w:w="60" w:type="dxa"/>
              <w:right w:w="90" w:type="dxa"/>
            </w:tcMar>
            <w:hideMark/>
          </w:tcPr>
          <w:p w14:paraId="38B0F051" w14:textId="77777777" w:rsidR="006E68E3" w:rsidRPr="006E68E3" w:rsidRDefault="006E68E3" w:rsidP="006E68E3">
            <w:pPr>
              <w:spacing w:after="0"/>
              <w:rPr>
                <w:rFonts w:ascii="Cambria" w:eastAsia="Cambria" w:hAnsi="Cambria" w:cs="Times New Roman"/>
                <w:sz w:val="24"/>
                <w:szCs w:val="24"/>
                <w:lang w:val="en-AU" w:eastAsia="en-AU" w:bidi="ar-SA"/>
              </w:rPr>
            </w:pPr>
            <w:r w:rsidRPr="006E68E3">
              <w:rPr>
                <w:rFonts w:ascii="Cambria" w:eastAsia="Cambria" w:hAnsi="Cambria" w:cs="Times New Roman"/>
                <w:b/>
                <w:bCs/>
                <w:sz w:val="24"/>
                <w:szCs w:val="24"/>
                <w:lang w:val="en-AU" w:eastAsia="en-AU" w:bidi="ar-SA"/>
              </w:rPr>
              <w:t>Analogue collection (IDR)</w:t>
            </w:r>
          </w:p>
        </w:tc>
        <w:tc>
          <w:tcPr>
            <w:tcW w:w="2126" w:type="dxa"/>
            <w:tcBorders>
              <w:top w:val="single" w:sz="6" w:space="0" w:color="000000"/>
              <w:left w:val="nil"/>
              <w:bottom w:val="single" w:sz="6" w:space="0" w:color="000000"/>
              <w:right w:val="nil"/>
            </w:tcBorders>
            <w:tcMar>
              <w:top w:w="60" w:type="dxa"/>
              <w:left w:w="90" w:type="dxa"/>
              <w:bottom w:w="60" w:type="dxa"/>
              <w:right w:w="90" w:type="dxa"/>
            </w:tcMar>
            <w:hideMark/>
          </w:tcPr>
          <w:p w14:paraId="77001B34" w14:textId="77777777" w:rsidR="006E68E3" w:rsidRPr="006E68E3" w:rsidRDefault="006E68E3" w:rsidP="006E68E3">
            <w:pPr>
              <w:spacing w:after="0"/>
              <w:rPr>
                <w:rFonts w:ascii="Cambria" w:eastAsia="Cambria" w:hAnsi="Cambria" w:cs="Times New Roman"/>
                <w:sz w:val="24"/>
                <w:szCs w:val="24"/>
                <w:lang w:val="en-AU" w:eastAsia="en-AU" w:bidi="ar-SA"/>
              </w:rPr>
            </w:pPr>
            <w:r w:rsidRPr="006E68E3">
              <w:rPr>
                <w:rFonts w:ascii="Cambria" w:eastAsia="Cambria" w:hAnsi="Cambria" w:cs="Times New Roman"/>
                <w:b/>
                <w:bCs/>
                <w:sz w:val="24"/>
                <w:szCs w:val="24"/>
                <w:lang w:val="en-AU" w:eastAsia="en-AU" w:bidi="ar-SA"/>
              </w:rPr>
              <w:t>Live-event collection (IDR)</w:t>
            </w:r>
          </w:p>
        </w:tc>
      </w:tr>
      <w:tr w:rsidR="006E68E3" w:rsidRPr="006E68E3" w14:paraId="4C0AA608" w14:textId="77777777" w:rsidTr="006E68E3">
        <w:tc>
          <w:tcPr>
            <w:tcW w:w="712" w:type="dxa"/>
            <w:tcBorders>
              <w:top w:val="single" w:sz="6" w:space="0" w:color="000000"/>
              <w:left w:val="nil"/>
              <w:bottom w:val="single" w:sz="6" w:space="0" w:color="000000"/>
              <w:right w:val="nil"/>
            </w:tcBorders>
            <w:tcMar>
              <w:top w:w="60" w:type="dxa"/>
              <w:left w:w="90" w:type="dxa"/>
              <w:bottom w:w="60" w:type="dxa"/>
              <w:right w:w="90" w:type="dxa"/>
            </w:tcMar>
            <w:hideMark/>
          </w:tcPr>
          <w:p w14:paraId="2FD59BB1" w14:textId="77777777" w:rsidR="006E68E3" w:rsidRPr="006E68E3" w:rsidRDefault="006E68E3" w:rsidP="006E68E3">
            <w:pPr>
              <w:spacing w:after="0"/>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2022</w:t>
            </w:r>
          </w:p>
        </w:tc>
        <w:tc>
          <w:tcPr>
            <w:tcW w:w="2549" w:type="dxa"/>
            <w:tcBorders>
              <w:top w:val="single" w:sz="6" w:space="0" w:color="000000"/>
              <w:left w:val="nil"/>
              <w:bottom w:val="single" w:sz="6" w:space="0" w:color="000000"/>
              <w:right w:val="nil"/>
            </w:tcBorders>
            <w:tcMar>
              <w:top w:w="60" w:type="dxa"/>
              <w:left w:w="90" w:type="dxa"/>
              <w:bottom w:w="60" w:type="dxa"/>
              <w:right w:w="90" w:type="dxa"/>
            </w:tcMar>
            <w:hideMark/>
          </w:tcPr>
          <w:p w14:paraId="30C29CEF" w14:textId="77777777" w:rsidR="006E68E3" w:rsidRPr="006E68E3" w:rsidRDefault="006E68E3" w:rsidP="006E68E3">
            <w:pPr>
              <w:spacing w:after="0"/>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27,807,947,382</w:t>
            </w:r>
          </w:p>
        </w:tc>
        <w:tc>
          <w:tcPr>
            <w:tcW w:w="3118" w:type="dxa"/>
            <w:tcBorders>
              <w:top w:val="single" w:sz="6" w:space="0" w:color="000000"/>
              <w:left w:val="nil"/>
              <w:bottom w:val="single" w:sz="6" w:space="0" w:color="000000"/>
              <w:right w:val="nil"/>
            </w:tcBorders>
            <w:tcMar>
              <w:top w:w="60" w:type="dxa"/>
              <w:left w:w="90" w:type="dxa"/>
              <w:bottom w:w="60" w:type="dxa"/>
              <w:right w:w="90" w:type="dxa"/>
            </w:tcMar>
            <w:hideMark/>
          </w:tcPr>
          <w:p w14:paraId="350B492D" w14:textId="77777777" w:rsidR="006E68E3" w:rsidRPr="006E68E3" w:rsidRDefault="006E68E3" w:rsidP="006E68E3">
            <w:pPr>
              <w:spacing w:after="0"/>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not separately published</w:t>
            </w:r>
          </w:p>
        </w:tc>
        <w:tc>
          <w:tcPr>
            <w:tcW w:w="2126" w:type="dxa"/>
            <w:tcBorders>
              <w:top w:val="single" w:sz="6" w:space="0" w:color="000000"/>
              <w:left w:val="nil"/>
              <w:bottom w:val="single" w:sz="6" w:space="0" w:color="000000"/>
              <w:right w:val="nil"/>
            </w:tcBorders>
            <w:tcMar>
              <w:top w:w="60" w:type="dxa"/>
              <w:left w:w="90" w:type="dxa"/>
              <w:bottom w:w="60" w:type="dxa"/>
              <w:right w:w="90" w:type="dxa"/>
            </w:tcMar>
            <w:hideMark/>
          </w:tcPr>
          <w:p w14:paraId="0D0320B6" w14:textId="77777777" w:rsidR="006E68E3" w:rsidRPr="006E68E3" w:rsidRDefault="006E68E3" w:rsidP="006E68E3">
            <w:pPr>
              <w:spacing w:after="0"/>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56,000,000</w:t>
            </w:r>
          </w:p>
        </w:tc>
      </w:tr>
      <w:tr w:rsidR="006E68E3" w:rsidRPr="006E68E3" w14:paraId="7B9CE901" w14:textId="77777777" w:rsidTr="006E68E3">
        <w:tc>
          <w:tcPr>
            <w:tcW w:w="712" w:type="dxa"/>
            <w:tcBorders>
              <w:top w:val="single" w:sz="6" w:space="0" w:color="000000"/>
              <w:left w:val="nil"/>
              <w:bottom w:val="single" w:sz="6" w:space="0" w:color="000000"/>
              <w:right w:val="nil"/>
            </w:tcBorders>
            <w:tcMar>
              <w:top w:w="60" w:type="dxa"/>
              <w:left w:w="90" w:type="dxa"/>
              <w:bottom w:w="60" w:type="dxa"/>
              <w:right w:w="90" w:type="dxa"/>
            </w:tcMar>
            <w:hideMark/>
          </w:tcPr>
          <w:p w14:paraId="4F90586C" w14:textId="77777777" w:rsidR="006E68E3" w:rsidRPr="006E68E3" w:rsidRDefault="006E68E3" w:rsidP="006E68E3">
            <w:pPr>
              <w:spacing w:after="0"/>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2023</w:t>
            </w:r>
          </w:p>
        </w:tc>
        <w:tc>
          <w:tcPr>
            <w:tcW w:w="2549" w:type="dxa"/>
            <w:tcBorders>
              <w:top w:val="single" w:sz="6" w:space="0" w:color="000000"/>
              <w:left w:val="nil"/>
              <w:bottom w:val="single" w:sz="6" w:space="0" w:color="000000"/>
              <w:right w:val="nil"/>
            </w:tcBorders>
            <w:tcMar>
              <w:top w:w="60" w:type="dxa"/>
              <w:left w:w="90" w:type="dxa"/>
              <w:bottom w:w="60" w:type="dxa"/>
              <w:right w:w="90" w:type="dxa"/>
            </w:tcMar>
            <w:hideMark/>
          </w:tcPr>
          <w:p w14:paraId="6F9D0711" w14:textId="77777777" w:rsidR="006E68E3" w:rsidRPr="006E68E3" w:rsidRDefault="006E68E3" w:rsidP="006E68E3">
            <w:pPr>
              <w:spacing w:after="0"/>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40,794,507,584</w:t>
            </w:r>
          </w:p>
        </w:tc>
        <w:tc>
          <w:tcPr>
            <w:tcW w:w="3118" w:type="dxa"/>
            <w:tcBorders>
              <w:top w:val="single" w:sz="6" w:space="0" w:color="000000"/>
              <w:left w:val="nil"/>
              <w:bottom w:val="single" w:sz="6" w:space="0" w:color="000000"/>
              <w:right w:val="nil"/>
            </w:tcBorders>
            <w:tcMar>
              <w:top w:w="60" w:type="dxa"/>
              <w:left w:w="90" w:type="dxa"/>
              <w:bottom w:w="60" w:type="dxa"/>
              <w:right w:w="90" w:type="dxa"/>
            </w:tcMar>
            <w:hideMark/>
          </w:tcPr>
          <w:p w14:paraId="7624FD3A" w14:textId="77777777" w:rsidR="006E68E3" w:rsidRPr="006E68E3" w:rsidRDefault="006E68E3" w:rsidP="006E68E3">
            <w:pPr>
              <w:spacing w:after="0"/>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not separately published</w:t>
            </w:r>
          </w:p>
        </w:tc>
        <w:tc>
          <w:tcPr>
            <w:tcW w:w="2126" w:type="dxa"/>
            <w:tcBorders>
              <w:top w:val="single" w:sz="6" w:space="0" w:color="000000"/>
              <w:left w:val="nil"/>
              <w:bottom w:val="single" w:sz="6" w:space="0" w:color="000000"/>
              <w:right w:val="nil"/>
            </w:tcBorders>
            <w:tcMar>
              <w:top w:w="60" w:type="dxa"/>
              <w:left w:w="90" w:type="dxa"/>
              <w:bottom w:w="60" w:type="dxa"/>
              <w:right w:w="90" w:type="dxa"/>
            </w:tcMar>
            <w:hideMark/>
          </w:tcPr>
          <w:p w14:paraId="04138333" w14:textId="77777777" w:rsidR="006E68E3" w:rsidRPr="006E68E3" w:rsidRDefault="006E68E3" w:rsidP="006E68E3">
            <w:pPr>
              <w:spacing w:after="0"/>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not separately published</w:t>
            </w:r>
          </w:p>
        </w:tc>
      </w:tr>
      <w:tr w:rsidR="006E68E3" w:rsidRPr="006E68E3" w14:paraId="277BACD3" w14:textId="77777777" w:rsidTr="006E68E3">
        <w:tc>
          <w:tcPr>
            <w:tcW w:w="712" w:type="dxa"/>
            <w:tcBorders>
              <w:top w:val="single" w:sz="6" w:space="0" w:color="000000"/>
              <w:left w:val="nil"/>
              <w:bottom w:val="single" w:sz="6" w:space="0" w:color="000000"/>
              <w:right w:val="nil"/>
            </w:tcBorders>
            <w:tcMar>
              <w:top w:w="60" w:type="dxa"/>
              <w:left w:w="90" w:type="dxa"/>
              <w:bottom w:w="60" w:type="dxa"/>
              <w:right w:w="90" w:type="dxa"/>
            </w:tcMar>
            <w:hideMark/>
          </w:tcPr>
          <w:p w14:paraId="4DA3D561" w14:textId="77777777" w:rsidR="006E68E3" w:rsidRPr="006E68E3" w:rsidRDefault="006E68E3" w:rsidP="006E68E3">
            <w:pPr>
              <w:spacing w:after="0"/>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2024</w:t>
            </w:r>
          </w:p>
        </w:tc>
        <w:tc>
          <w:tcPr>
            <w:tcW w:w="2549" w:type="dxa"/>
            <w:tcBorders>
              <w:top w:val="single" w:sz="6" w:space="0" w:color="000000"/>
              <w:left w:val="nil"/>
              <w:bottom w:val="single" w:sz="6" w:space="0" w:color="000000"/>
              <w:right w:val="nil"/>
            </w:tcBorders>
            <w:tcMar>
              <w:top w:w="60" w:type="dxa"/>
              <w:left w:w="90" w:type="dxa"/>
              <w:bottom w:w="60" w:type="dxa"/>
              <w:right w:w="90" w:type="dxa"/>
            </w:tcMar>
            <w:hideMark/>
          </w:tcPr>
          <w:p w14:paraId="213DDA8F" w14:textId="77777777" w:rsidR="006E68E3" w:rsidRPr="006E68E3" w:rsidRDefault="006E68E3" w:rsidP="006E68E3">
            <w:pPr>
              <w:spacing w:after="0"/>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54,243,955,894</w:t>
            </w:r>
          </w:p>
        </w:tc>
        <w:tc>
          <w:tcPr>
            <w:tcW w:w="3118" w:type="dxa"/>
            <w:tcBorders>
              <w:top w:val="single" w:sz="6" w:space="0" w:color="000000"/>
              <w:left w:val="nil"/>
              <w:bottom w:val="single" w:sz="6" w:space="0" w:color="000000"/>
              <w:right w:val="nil"/>
            </w:tcBorders>
            <w:tcMar>
              <w:top w:w="60" w:type="dxa"/>
              <w:left w:w="90" w:type="dxa"/>
              <w:bottom w:w="60" w:type="dxa"/>
              <w:right w:w="90" w:type="dxa"/>
            </w:tcMar>
            <w:hideMark/>
          </w:tcPr>
          <w:p w14:paraId="5CF65E23" w14:textId="77777777" w:rsidR="006E68E3" w:rsidRPr="006E68E3" w:rsidRDefault="006E68E3" w:rsidP="006E68E3">
            <w:pPr>
              <w:spacing w:after="0"/>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 77,000,000,000</w:t>
            </w:r>
          </w:p>
        </w:tc>
        <w:tc>
          <w:tcPr>
            <w:tcW w:w="2126" w:type="dxa"/>
            <w:tcBorders>
              <w:top w:val="single" w:sz="6" w:space="0" w:color="000000"/>
              <w:left w:val="nil"/>
              <w:bottom w:val="single" w:sz="6" w:space="0" w:color="000000"/>
              <w:right w:val="nil"/>
            </w:tcBorders>
            <w:tcMar>
              <w:top w:w="60" w:type="dxa"/>
              <w:left w:w="90" w:type="dxa"/>
              <w:bottom w:w="60" w:type="dxa"/>
              <w:right w:w="90" w:type="dxa"/>
            </w:tcMar>
            <w:hideMark/>
          </w:tcPr>
          <w:p w14:paraId="72865BC6" w14:textId="77777777" w:rsidR="006E68E3" w:rsidRPr="006E68E3" w:rsidRDefault="006E68E3" w:rsidP="006E68E3">
            <w:pPr>
              <w:spacing w:after="0"/>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 18,000,000,000</w:t>
            </w:r>
          </w:p>
        </w:tc>
      </w:tr>
      <w:tr w:rsidR="006E68E3" w:rsidRPr="006E68E3" w14:paraId="1725405B" w14:textId="77777777" w:rsidTr="006E68E3">
        <w:tc>
          <w:tcPr>
            <w:tcW w:w="712" w:type="dxa"/>
            <w:tcBorders>
              <w:top w:val="single" w:sz="6" w:space="0" w:color="000000"/>
              <w:left w:val="nil"/>
              <w:bottom w:val="single" w:sz="6" w:space="0" w:color="000000"/>
              <w:right w:val="nil"/>
            </w:tcBorders>
            <w:tcMar>
              <w:top w:w="60" w:type="dxa"/>
              <w:left w:w="90" w:type="dxa"/>
              <w:bottom w:w="60" w:type="dxa"/>
              <w:right w:w="90" w:type="dxa"/>
            </w:tcMar>
            <w:hideMark/>
          </w:tcPr>
          <w:p w14:paraId="4EA1D1B9" w14:textId="77777777" w:rsidR="006E68E3" w:rsidRPr="006E68E3" w:rsidRDefault="006E68E3" w:rsidP="006E68E3">
            <w:pPr>
              <w:spacing w:after="0"/>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2025</w:t>
            </w:r>
          </w:p>
        </w:tc>
        <w:tc>
          <w:tcPr>
            <w:tcW w:w="2549" w:type="dxa"/>
            <w:tcBorders>
              <w:top w:val="single" w:sz="6" w:space="0" w:color="000000"/>
              <w:left w:val="nil"/>
              <w:bottom w:val="single" w:sz="6" w:space="0" w:color="000000"/>
              <w:right w:val="nil"/>
            </w:tcBorders>
            <w:tcMar>
              <w:top w:w="60" w:type="dxa"/>
              <w:left w:w="90" w:type="dxa"/>
              <w:bottom w:w="60" w:type="dxa"/>
              <w:right w:w="90" w:type="dxa"/>
            </w:tcMar>
            <w:hideMark/>
          </w:tcPr>
          <w:p w14:paraId="30F79374" w14:textId="77777777" w:rsidR="006E68E3" w:rsidRPr="006E68E3" w:rsidRDefault="006E68E3" w:rsidP="006E68E3">
            <w:pPr>
              <w:spacing w:after="0"/>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151,830,755,644 (to 16,332 rights holders)</w:t>
            </w:r>
          </w:p>
        </w:tc>
        <w:tc>
          <w:tcPr>
            <w:tcW w:w="3118" w:type="dxa"/>
            <w:tcBorders>
              <w:top w:val="single" w:sz="6" w:space="0" w:color="000000"/>
              <w:left w:val="nil"/>
              <w:bottom w:val="single" w:sz="6" w:space="0" w:color="000000"/>
              <w:right w:val="nil"/>
            </w:tcBorders>
            <w:tcMar>
              <w:top w:w="60" w:type="dxa"/>
              <w:left w:w="90" w:type="dxa"/>
              <w:bottom w:w="60" w:type="dxa"/>
              <w:right w:w="90" w:type="dxa"/>
            </w:tcMar>
            <w:hideMark/>
          </w:tcPr>
          <w:p w14:paraId="24E09C8A" w14:textId="77777777" w:rsidR="006E68E3" w:rsidRPr="006E68E3" w:rsidRDefault="006E68E3" w:rsidP="006E68E3">
            <w:pPr>
              <w:spacing w:after="0"/>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77,883,213,363</w:t>
            </w:r>
          </w:p>
        </w:tc>
        <w:tc>
          <w:tcPr>
            <w:tcW w:w="2126" w:type="dxa"/>
            <w:tcBorders>
              <w:top w:val="single" w:sz="6" w:space="0" w:color="000000"/>
              <w:left w:val="nil"/>
              <w:bottom w:val="single" w:sz="6" w:space="0" w:color="000000"/>
              <w:right w:val="nil"/>
            </w:tcBorders>
            <w:tcMar>
              <w:top w:w="60" w:type="dxa"/>
              <w:left w:w="90" w:type="dxa"/>
              <w:bottom w:w="60" w:type="dxa"/>
              <w:right w:w="90" w:type="dxa"/>
            </w:tcMar>
            <w:hideMark/>
          </w:tcPr>
          <w:p w14:paraId="57E213FA" w14:textId="77777777" w:rsidR="006E68E3" w:rsidRPr="006E68E3" w:rsidRDefault="006E68E3" w:rsidP="006E68E3">
            <w:pPr>
              <w:spacing w:after="0"/>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included in total exceeding 200 billion</w:t>
            </w:r>
          </w:p>
        </w:tc>
      </w:tr>
    </w:tbl>
    <w:p w14:paraId="0B229111" w14:textId="77777777" w:rsidR="006E68E3" w:rsidRPr="006E68E3" w:rsidRDefault="006E68E3" w:rsidP="006E68E3">
      <w:pPr>
        <w:spacing w:before="80"/>
        <w:jc w:val="both"/>
        <w:rPr>
          <w:rFonts w:ascii="Cambria" w:eastAsia="Cambria" w:hAnsi="Cambria" w:cs="Times New Roman"/>
          <w:sz w:val="24"/>
          <w:szCs w:val="24"/>
          <w:lang w:val="en-AU" w:eastAsia="en-AU" w:bidi="ar-SA"/>
        </w:rPr>
      </w:pPr>
      <w:r w:rsidRPr="006E68E3">
        <w:rPr>
          <w:rFonts w:ascii="Cambria" w:eastAsia="Cambria" w:hAnsi="Cambria" w:cs="Times New Roman"/>
          <w:i/>
          <w:iCs/>
          <w:sz w:val="24"/>
          <w:szCs w:val="24"/>
          <w:lang w:val="en-AU" w:eastAsia="en-AU" w:bidi="ar-SA"/>
        </w:rPr>
        <w:t>Source: Processed from statistics published by the national collective management institution and the Directorate General of Intellectual Property, 2026. Figures marked as approximate were reported in rounded form by the institution; blank entries indicate that the series was not disaggregated in the published sources.</w:t>
      </w:r>
    </w:p>
    <w:p w14:paraId="482400E2" w14:textId="77777777" w:rsidR="006E68E3" w:rsidRPr="006E68E3" w:rsidRDefault="006E68E3" w:rsidP="006E68E3">
      <w:pPr>
        <w:jc w:val="both"/>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 xml:space="preserve">A single settlement of IDR 2,264,502,000 equals roughly 2.94 percent of everything collected from analogue commercial use nationally in 2024, and roughly 5.96 </w:t>
      </w:r>
      <w:r w:rsidRPr="006E68E3">
        <w:rPr>
          <w:rFonts w:ascii="Cambria" w:eastAsia="Cambria" w:hAnsi="Cambria" w:cs="Times New Roman"/>
          <w:sz w:val="24"/>
          <w:szCs w:val="24"/>
          <w:lang w:val="en-AU" w:eastAsia="en-AU" w:bidi="ar-SA"/>
        </w:rPr>
        <w:lastRenderedPageBreak/>
        <w:t>percent of what the complainant organisation itself contributed to that total.</w:t>
      </w:r>
      <w:r w:rsidRPr="006E68E3">
        <w:rPr>
          <w:rFonts w:ascii="Cambria" w:eastAsia="Cambria" w:hAnsi="Cambria" w:cs="Times New Roman"/>
          <w:sz w:val="24"/>
          <w:szCs w:val="24"/>
          <w:vertAlign w:val="superscript"/>
          <w:lang w:val="en-AU" w:eastAsia="en-AU" w:bidi="ar-SA"/>
        </w:rPr>
        <w:footnoteReference w:id="31"/>
      </w:r>
      <w:r w:rsidRPr="006E68E3">
        <w:rPr>
          <w:rFonts w:ascii="Cambria" w:eastAsia="Cambria" w:hAnsi="Cambria" w:cs="Times New Roman"/>
          <w:sz w:val="24"/>
          <w:szCs w:val="24"/>
          <w:lang w:val="en-AU" w:eastAsia="en-AU" w:bidi="ar-SA"/>
        </w:rPr>
        <w:t xml:space="preserve"> Read one way, that is a measure of the case’s significance. Read correctly, it is a measure of the system’s weakness: no functioning collection regime should be capable of moving its own national aggregate by three percent through one enforcement action against one chain of sixty-five outlets. The 2025 figures, which show collection exceeding IDR 200 billion in total and distribution of IDR 151.8 billion to 16,332 rights holders,</w:t>
      </w:r>
      <w:r w:rsidRPr="006E68E3">
        <w:rPr>
          <w:rFonts w:ascii="Cambria" w:eastAsia="Cambria" w:hAnsi="Cambria" w:cs="Times New Roman"/>
          <w:sz w:val="24"/>
          <w:szCs w:val="24"/>
          <w:vertAlign w:val="superscript"/>
          <w:lang w:val="en-AU" w:eastAsia="en-AU" w:bidi="ar-SA"/>
        </w:rPr>
        <w:footnoteReference w:id="32"/>
      </w:r>
      <w:r w:rsidRPr="006E68E3">
        <w:rPr>
          <w:rFonts w:ascii="Cambria" w:eastAsia="Cambria" w:hAnsi="Cambria" w:cs="Times New Roman"/>
          <w:sz w:val="24"/>
          <w:szCs w:val="24"/>
          <w:lang w:val="en-AU" w:eastAsia="en-AU" w:bidi="ar-SA"/>
        </w:rPr>
        <w:t xml:space="preserve"> confirm both that the system is capable of rapid growth once it is activated and that the base from which it grew was extremely low.</w:t>
      </w:r>
    </w:p>
    <w:p w14:paraId="2842B16C" w14:textId="5222DD01" w:rsidR="006E68E3" w:rsidRPr="006E68E3" w:rsidRDefault="006E68E3" w:rsidP="006E68E3">
      <w:pPr>
        <w:pStyle w:val="ListParagraph"/>
        <w:numPr>
          <w:ilvl w:val="0"/>
          <w:numId w:val="3"/>
        </w:numPr>
        <w:spacing w:before="220" w:after="120"/>
        <w:jc w:val="both"/>
        <w:outlineLvl w:val="1"/>
        <w:rPr>
          <w:rFonts w:ascii="Cambria" w:eastAsia="Cambria" w:hAnsi="Cambria" w:cs="Times New Roman"/>
          <w:color w:val="2E74B5"/>
          <w:sz w:val="24"/>
          <w:szCs w:val="24"/>
          <w:lang w:val="en-AU" w:eastAsia="en-AU" w:bidi="ar-SA"/>
        </w:rPr>
      </w:pPr>
      <w:r w:rsidRPr="006E68E3">
        <w:rPr>
          <w:rFonts w:ascii="Cambria" w:eastAsia="Cambria" w:hAnsi="Cambria" w:cs="Times New Roman"/>
          <w:b/>
          <w:bCs/>
          <w:color w:val="000000"/>
          <w:sz w:val="24"/>
          <w:szCs w:val="24"/>
          <w:lang w:val="en-AU" w:eastAsia="en-AU" w:bidi="ar-SA"/>
        </w:rPr>
        <w:t>Testing Effectiveness: Why Compliance Arrived Only After Criminalisation</w:t>
      </w:r>
    </w:p>
    <w:p w14:paraId="219D557A" w14:textId="77777777" w:rsidR="006E68E3" w:rsidRPr="006E68E3" w:rsidRDefault="006E68E3" w:rsidP="006E68E3">
      <w:pPr>
        <w:spacing w:after="120"/>
        <w:jc w:val="both"/>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Applying the five factors of legal effectiveness to this record produces a diagnosis that is more precise than the familiar conclusion that awareness is low. On substance, the regime performs well: the obligation is explicit, the category is listed, the tariff is quantified, and the payment channel is designated. Substance is not the constraint, and the recurring recommendation that the rule be clarified therefore misdiagnoses the problem.</w:t>
      </w:r>
    </w:p>
    <w:p w14:paraId="2BE4E99C" w14:textId="77777777" w:rsidR="006E68E3" w:rsidRPr="006E68E3" w:rsidRDefault="006E68E3" w:rsidP="006E68E3">
      <w:pPr>
        <w:spacing w:after="120"/>
        <w:jc w:val="both"/>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On the enforcement apparatus and on facilities, the regime performs poorly, and the two failures are connected. The collecting institution has no inspection right, no access to a verified seat register, and no administrative sanction. It has a self-assessment form and a telephone. The obligation is not linked to the business licensing system, so a company can obtain and renew its permits for years while accruing royalty debt without any administrative touchpoint disclosing the liability. The consequence is visible in the timeline: the only escalation available was a criminal complaint, which is to say the only rung above persuasion was the top of the ladder.</w:t>
      </w:r>
    </w:p>
    <w:p w14:paraId="07E2D9AC" w14:textId="77777777" w:rsidR="006E68E3" w:rsidRPr="006E68E3" w:rsidRDefault="006E68E3" w:rsidP="006E68E3">
      <w:pPr>
        <w:spacing w:after="120"/>
        <w:jc w:val="both"/>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 xml:space="preserve">On community and legal culture, the finding is that non-payment was normalised rather than chosen. The reconstruction in Table 2 shows an annual cost that no rational operator would incur criminal exposure to avoid. What sustained the breach was that nothing in the company’s operating environment made the obligation salient: no competitor was visibly paying, no licence renewal asked the question, no auditor flagged it. This is Friedman’s culture factor doing its work, and it explains why the reported cooperative conduct of the company after the settlement, including reporting new outlets and playlists, is more revealing than the </w:t>
      </w:r>
      <w:r w:rsidRPr="006E68E3">
        <w:rPr>
          <w:rFonts w:ascii="Cambria" w:eastAsia="Cambria" w:hAnsi="Cambria" w:cs="Times New Roman"/>
          <w:sz w:val="24"/>
          <w:szCs w:val="24"/>
          <w:lang w:val="en-AU" w:eastAsia="en-AU" w:bidi="ar-SA"/>
        </w:rPr>
        <w:lastRenderedPageBreak/>
        <w:t>payment itself.</w:t>
      </w:r>
      <w:r w:rsidRPr="006E68E3">
        <w:rPr>
          <w:rFonts w:ascii="Cambria" w:eastAsia="Cambria" w:hAnsi="Cambria" w:cs="Times New Roman"/>
          <w:sz w:val="24"/>
          <w:szCs w:val="24"/>
          <w:vertAlign w:val="superscript"/>
          <w:lang w:val="en-AU" w:eastAsia="en-AU" w:bidi="ar-SA"/>
        </w:rPr>
        <w:footnoteReference w:id="33"/>
      </w:r>
      <w:r w:rsidRPr="006E68E3">
        <w:rPr>
          <w:rFonts w:ascii="Cambria" w:eastAsia="Cambria" w:hAnsi="Cambria" w:cs="Times New Roman"/>
          <w:sz w:val="24"/>
          <w:szCs w:val="24"/>
          <w:lang w:val="en-AU" w:eastAsia="en-AU" w:bidi="ar-SA"/>
        </w:rPr>
        <w:t xml:space="preserve"> Once the obligation became salient, compliance followed without resistance.</w:t>
      </w:r>
    </w:p>
    <w:p w14:paraId="24C5405A" w14:textId="77777777" w:rsidR="006E68E3" w:rsidRPr="006E68E3" w:rsidRDefault="006E68E3" w:rsidP="006E68E3">
      <w:pPr>
        <w:jc w:val="both"/>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The conclusion follows directly. Enforcement in this case was effective in the narrow sense that the economic right was restored in full and future compliance was secured, and ineffective in every sense that matters for a system, because the mechanism that produced the result is not available at scale. The criminal complaint functioned as what responsive regulation calls a benign big gun: a sanction whose value lies in credible availability.</w:t>
      </w:r>
      <w:r w:rsidRPr="006E68E3">
        <w:rPr>
          <w:rFonts w:ascii="Cambria" w:eastAsia="Cambria" w:hAnsi="Cambria" w:cs="Times New Roman"/>
          <w:sz w:val="24"/>
          <w:szCs w:val="24"/>
          <w:vertAlign w:val="superscript"/>
          <w:lang w:val="en-AU" w:eastAsia="en-AU" w:bidi="ar-SA"/>
        </w:rPr>
        <w:footnoteReference w:id="34"/>
      </w:r>
      <w:r w:rsidRPr="006E68E3">
        <w:rPr>
          <w:rFonts w:ascii="Cambria" w:eastAsia="Cambria" w:hAnsi="Cambria" w:cs="Times New Roman"/>
          <w:sz w:val="24"/>
          <w:szCs w:val="24"/>
          <w:lang w:val="en-AU" w:eastAsia="en-AU" w:bidi="ar-SA"/>
        </w:rPr>
        <w:t xml:space="preserve"> But a big gun that must be fired to work is not a deterrent; it is an event. Firing it once against a chain of sixty-five outlets moved the national aggregate by three percent, which is precisely why the model cannot be scaled to the hundreds of thousands of venues the regulation nominally covers.</w:t>
      </w:r>
    </w:p>
    <w:p w14:paraId="3E427E42" w14:textId="09CFFB24" w:rsidR="006E68E3" w:rsidRPr="006E68E3" w:rsidRDefault="006E68E3" w:rsidP="006E68E3">
      <w:pPr>
        <w:pStyle w:val="ListParagraph"/>
        <w:numPr>
          <w:ilvl w:val="0"/>
          <w:numId w:val="3"/>
        </w:numPr>
        <w:spacing w:before="220" w:after="120"/>
        <w:jc w:val="both"/>
        <w:outlineLvl w:val="1"/>
        <w:rPr>
          <w:rFonts w:ascii="Cambria" w:eastAsia="Cambria" w:hAnsi="Cambria" w:cs="Times New Roman"/>
          <w:color w:val="2E74B5"/>
          <w:sz w:val="24"/>
          <w:szCs w:val="24"/>
          <w:lang w:val="en-AU" w:eastAsia="en-AU" w:bidi="ar-SA"/>
        </w:rPr>
      </w:pPr>
      <w:r w:rsidRPr="006E68E3">
        <w:rPr>
          <w:rFonts w:ascii="Cambria" w:eastAsia="Cambria" w:hAnsi="Cambria" w:cs="Times New Roman"/>
          <w:b/>
          <w:bCs/>
          <w:color w:val="000000"/>
          <w:sz w:val="24"/>
          <w:szCs w:val="24"/>
          <w:lang w:val="en-AU" w:eastAsia="en-AU" w:bidi="ar-SA"/>
        </w:rPr>
        <w:t>Restorative Justice After Constitutional Court Decision 28/PUU-XXIII/2025</w:t>
      </w:r>
    </w:p>
    <w:p w14:paraId="17F28159" w14:textId="77777777" w:rsidR="006E68E3" w:rsidRPr="006E68E3" w:rsidRDefault="006E68E3" w:rsidP="006E68E3">
      <w:pPr>
        <w:spacing w:after="120"/>
        <w:jc w:val="both"/>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At the time the case was closed, restorative justice in this field rested on ordinary criminal-procedure policy and on the mediation requirement in Article 95(4) of the Copyright Law, which obliges parties whose whereabouts are known to attempt mediation before a criminal prosecution is brought.</w:t>
      </w:r>
      <w:r w:rsidRPr="006E68E3">
        <w:rPr>
          <w:rFonts w:ascii="Cambria" w:eastAsia="Cambria" w:hAnsi="Cambria" w:cs="Times New Roman"/>
          <w:sz w:val="24"/>
          <w:szCs w:val="24"/>
          <w:vertAlign w:val="superscript"/>
          <w:lang w:val="en-AU" w:eastAsia="en-AU" w:bidi="ar-SA"/>
        </w:rPr>
        <w:footnoteReference w:id="35"/>
      </w:r>
      <w:r w:rsidRPr="006E68E3">
        <w:rPr>
          <w:rFonts w:ascii="Cambria" w:eastAsia="Cambria" w:hAnsi="Cambria" w:cs="Times New Roman"/>
          <w:sz w:val="24"/>
          <w:szCs w:val="24"/>
          <w:lang w:val="en-AU" w:eastAsia="en-AU" w:bidi="ar-SA"/>
        </w:rPr>
        <w:t xml:space="preserve"> Two months later the ground shifted. In Decision 28/PUU-XXIII/2025 the Constitutional Court held the phrase referencing letter f in Article 113(2) conditionally unconstitutional unless it is understood to mean that criminal sanctions are applied only after the principle of restorative justice has first been applied; it held that reasonable remuneration must be read as remuneration consistent with mechanisms and tariffs established by legislation; and it held that the person liable in a commercial performance includes the organiser of that performance.</w:t>
      </w:r>
      <w:r w:rsidRPr="006E68E3">
        <w:rPr>
          <w:rFonts w:ascii="Cambria" w:eastAsia="Cambria" w:hAnsi="Cambria" w:cs="Times New Roman"/>
          <w:sz w:val="24"/>
          <w:szCs w:val="24"/>
          <w:vertAlign w:val="superscript"/>
          <w:lang w:val="en-AU" w:eastAsia="en-AU" w:bidi="ar-SA"/>
        </w:rPr>
        <w:footnoteReference w:id="36"/>
      </w:r>
      <w:r w:rsidRPr="006E68E3">
        <w:rPr>
          <w:rFonts w:ascii="Cambria" w:eastAsia="Cambria" w:hAnsi="Cambria" w:cs="Times New Roman"/>
          <w:sz w:val="24"/>
          <w:szCs w:val="24"/>
          <w:lang w:val="en-AU" w:eastAsia="en-AU" w:bidi="ar-SA"/>
        </w:rPr>
        <w:t xml:space="preserve"> The Court reasoned that violations of economic rights should prioritise administrative and civil mechanisms over criminal ones, consistent with </w:t>
      </w:r>
      <w:proofErr w:type="spellStart"/>
      <w:r w:rsidRPr="006E68E3">
        <w:rPr>
          <w:rFonts w:ascii="Cambria" w:eastAsia="Cambria" w:hAnsi="Cambria" w:cs="Times New Roman"/>
          <w:i/>
          <w:iCs/>
          <w:sz w:val="24"/>
          <w:szCs w:val="24"/>
          <w:lang w:val="en-AU" w:eastAsia="en-AU" w:bidi="ar-SA"/>
        </w:rPr>
        <w:t>ultimum</w:t>
      </w:r>
      <w:proofErr w:type="spellEnd"/>
      <w:r w:rsidRPr="006E68E3">
        <w:rPr>
          <w:rFonts w:ascii="Cambria" w:eastAsia="Cambria" w:hAnsi="Cambria" w:cs="Times New Roman"/>
          <w:i/>
          <w:iCs/>
          <w:sz w:val="24"/>
          <w:szCs w:val="24"/>
          <w:lang w:val="en-AU" w:eastAsia="en-AU" w:bidi="ar-SA"/>
        </w:rPr>
        <w:t xml:space="preserve"> </w:t>
      </w:r>
      <w:proofErr w:type="spellStart"/>
      <w:r w:rsidRPr="006E68E3">
        <w:rPr>
          <w:rFonts w:ascii="Cambria" w:eastAsia="Cambria" w:hAnsi="Cambria" w:cs="Times New Roman"/>
          <w:i/>
          <w:iCs/>
          <w:sz w:val="24"/>
          <w:szCs w:val="24"/>
          <w:lang w:val="en-AU" w:eastAsia="en-AU" w:bidi="ar-SA"/>
        </w:rPr>
        <w:t>remedium</w:t>
      </w:r>
      <w:proofErr w:type="spellEnd"/>
      <w:r w:rsidRPr="006E68E3">
        <w:rPr>
          <w:rFonts w:ascii="Cambria" w:eastAsia="Cambria" w:hAnsi="Cambria" w:cs="Times New Roman"/>
          <w:sz w:val="24"/>
          <w:szCs w:val="24"/>
          <w:lang w:val="en-AU" w:eastAsia="en-AU" w:bidi="ar-SA"/>
        </w:rPr>
        <w:t>, and stated that where mediation and other non-litigation steps fail, administrative sanctions should precede criminal ones.</w:t>
      </w:r>
      <w:r w:rsidRPr="006E68E3">
        <w:rPr>
          <w:rFonts w:ascii="Cambria" w:eastAsia="Cambria" w:hAnsi="Cambria" w:cs="Times New Roman"/>
          <w:sz w:val="24"/>
          <w:szCs w:val="24"/>
          <w:vertAlign w:val="superscript"/>
          <w:lang w:val="en-AU" w:eastAsia="en-AU" w:bidi="ar-SA"/>
        </w:rPr>
        <w:footnoteReference w:id="37"/>
      </w:r>
      <w:r w:rsidRPr="006E68E3">
        <w:rPr>
          <w:rFonts w:ascii="Cambria" w:eastAsia="Cambria" w:hAnsi="Cambria" w:cs="Times New Roman"/>
          <w:sz w:val="24"/>
          <w:szCs w:val="24"/>
          <w:lang w:val="en-AU" w:eastAsia="en-AU" w:bidi="ar-SA"/>
        </w:rPr>
        <w:t xml:space="preserve"> A </w:t>
      </w:r>
      <w:r w:rsidRPr="006E68E3">
        <w:rPr>
          <w:rFonts w:ascii="Cambria" w:eastAsia="Cambria" w:hAnsi="Cambria" w:cs="Times New Roman"/>
          <w:sz w:val="24"/>
          <w:szCs w:val="24"/>
          <w:lang w:val="en-AU" w:eastAsia="en-AU" w:bidi="ar-SA"/>
        </w:rPr>
        <w:lastRenderedPageBreak/>
        <w:t>dissent argued that the Court should have issued guidance and pressed the legislature to restructure the statute rather than reinterpret it.</w:t>
      </w:r>
      <w:r w:rsidRPr="006E68E3">
        <w:rPr>
          <w:rFonts w:ascii="Cambria" w:eastAsia="Cambria" w:hAnsi="Cambria" w:cs="Times New Roman"/>
          <w:sz w:val="24"/>
          <w:szCs w:val="24"/>
          <w:vertAlign w:val="superscript"/>
          <w:lang w:val="en-AU" w:eastAsia="en-AU" w:bidi="ar-SA"/>
        </w:rPr>
        <w:footnoteReference w:id="38"/>
      </w:r>
    </w:p>
    <w:p w14:paraId="4D58DEDD" w14:textId="77777777" w:rsidR="006E68E3" w:rsidRPr="006E68E3" w:rsidRDefault="006E68E3" w:rsidP="006E68E3">
      <w:pPr>
        <w:spacing w:after="120"/>
        <w:jc w:val="both"/>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Three consequences follow for the analysis, and they cut in different directions. First, the settlement is retrospectively vindicated in form. What in August 2025 looked like discretionary leniency, granted at ministerial prompting, is now the constitutionally required shape of the outcome; had the case run to trial, it would have been at odds with the framework that took effect four months later. Second, the constitutional reading of reasonable remuneration converts the tariff from a negotiating benchmark into the legal measure of the obligation, which retrospectively strengthens the reconstruction in Table 2: the settlement was defensible because it tracked the tariff, and a settlement that had departed from the tariff would now be exposed. Third, and least comfortably, the decision removes the very instrument that produced the outcome. If restorative justice must be attempted before criminal sanction, then the criminal complaint can no longer function as the opening move that brought the company to the table. The threat that generated the payment has been constitutionally deferred.</w:t>
      </w:r>
    </w:p>
    <w:p w14:paraId="656AB294" w14:textId="77777777" w:rsidR="006E68E3" w:rsidRPr="006E68E3" w:rsidRDefault="006E68E3" w:rsidP="006E68E3">
      <w:pPr>
        <w:spacing w:after="120"/>
        <w:jc w:val="both"/>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This is the central tension the case now presents, and it is not resolved by observing that restorative justice is desirable. Restorative justice presupposes an offender who has been brought to account and who is motivated to repair.</w:t>
      </w:r>
      <w:r w:rsidRPr="006E68E3">
        <w:rPr>
          <w:rFonts w:ascii="Cambria" w:eastAsia="Cambria" w:hAnsi="Cambria" w:cs="Times New Roman"/>
          <w:sz w:val="24"/>
          <w:szCs w:val="24"/>
          <w:vertAlign w:val="superscript"/>
          <w:lang w:val="en-AU" w:eastAsia="en-AU" w:bidi="ar-SA"/>
        </w:rPr>
        <w:footnoteReference w:id="39"/>
      </w:r>
      <w:r w:rsidRPr="006E68E3">
        <w:rPr>
          <w:rFonts w:ascii="Cambria" w:eastAsia="Cambria" w:hAnsi="Cambria" w:cs="Times New Roman"/>
          <w:sz w:val="24"/>
          <w:szCs w:val="24"/>
          <w:lang w:val="en-AU" w:eastAsia="en-AU" w:bidi="ar-SA"/>
        </w:rPr>
        <w:t xml:space="preserve"> It works within a pyramid whose upper rungs are credible. Where the middle of the pyramid is empty, as it is here, mandating restoration before sanction does not restructure the ladder; it removes the top of it and leaves persuasion facing a party who has already spent three years ignoring persuasion. The decision is therefore best read as a mandate directed as much at the legislature and the executive as at investigators: it is coherent only if the administrative rung it presupposes is actually built.</w:t>
      </w:r>
      <w:r w:rsidRPr="006E68E3">
        <w:rPr>
          <w:rFonts w:ascii="Cambria" w:eastAsia="Cambria" w:hAnsi="Cambria" w:cs="Times New Roman"/>
          <w:sz w:val="24"/>
          <w:szCs w:val="24"/>
          <w:vertAlign w:val="superscript"/>
          <w:lang w:val="en-AU" w:eastAsia="en-AU" w:bidi="ar-SA"/>
        </w:rPr>
        <w:footnoteReference w:id="40"/>
      </w:r>
    </w:p>
    <w:p w14:paraId="4951BFFE" w14:textId="78A5CF89" w:rsidR="006E68E3" w:rsidRPr="006E68E3" w:rsidRDefault="006E68E3" w:rsidP="006E68E3">
      <w:pPr>
        <w:pStyle w:val="ListParagraph"/>
        <w:numPr>
          <w:ilvl w:val="0"/>
          <w:numId w:val="3"/>
        </w:numPr>
        <w:spacing w:before="220" w:after="120"/>
        <w:outlineLvl w:val="1"/>
        <w:rPr>
          <w:rFonts w:ascii="Cambria" w:eastAsia="Cambria" w:hAnsi="Cambria" w:cs="Times New Roman"/>
          <w:color w:val="2E74B5"/>
          <w:sz w:val="24"/>
          <w:szCs w:val="24"/>
          <w:lang w:val="en-AU" w:eastAsia="en-AU" w:bidi="ar-SA"/>
        </w:rPr>
      </w:pPr>
      <w:r w:rsidRPr="006E68E3">
        <w:rPr>
          <w:rFonts w:ascii="Cambria" w:eastAsia="Cambria" w:hAnsi="Cambria" w:cs="Times New Roman"/>
          <w:b/>
          <w:bCs/>
          <w:color w:val="000000"/>
          <w:sz w:val="24"/>
          <w:szCs w:val="24"/>
          <w:lang w:val="en-AU" w:eastAsia="en-AU" w:bidi="ar-SA"/>
        </w:rPr>
        <w:t>The Deterrence Deficit and Settlement-Driven Enforcement</w:t>
      </w:r>
    </w:p>
    <w:p w14:paraId="603F4026" w14:textId="77777777" w:rsidR="006E68E3" w:rsidRPr="006E68E3" w:rsidRDefault="006E68E3" w:rsidP="006E68E3">
      <w:pPr>
        <w:spacing w:after="120"/>
        <w:jc w:val="both"/>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 xml:space="preserve">A model in which compliance is produced by episodic criminal exposure and resolved by negotiated payment carries three risks that the case makes visible. The first is selection. Criminal escalation is costly for the complainant, so it will be reserved for users whose recoverable debt justifies the effort, which means large, visible, urban chains. Small and medium venues, which constitute the overwhelming majority of licensable premises, will not be reached, and will correctly infer that the </w:t>
      </w:r>
      <w:r w:rsidRPr="006E68E3">
        <w:rPr>
          <w:rFonts w:ascii="Cambria" w:eastAsia="Cambria" w:hAnsi="Cambria" w:cs="Times New Roman"/>
          <w:sz w:val="24"/>
          <w:szCs w:val="24"/>
          <w:lang w:val="en-AU" w:eastAsia="en-AU" w:bidi="ar-SA"/>
        </w:rPr>
        <w:lastRenderedPageBreak/>
        <w:t>obligation is nominal for them. Enforcement that is rational at the level of the individual case is therefore regressive at the level of the system.</w:t>
      </w:r>
    </w:p>
    <w:p w14:paraId="6506F235" w14:textId="77777777" w:rsidR="006E68E3" w:rsidRPr="006E68E3" w:rsidRDefault="006E68E3" w:rsidP="006E68E3">
      <w:pPr>
        <w:spacing w:after="120"/>
        <w:jc w:val="both"/>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The second risk is that settlement erases the deterrent signal it depends on. Because the settlement discharged the debt at tariff, non-compliance became, in economic terms, an interest-free deferral: the company paid in 2025 what it should have paid from 2022, with no premium for the delay, plus incidental costs. For a rational operator observing from outside, the lesson is that waiting is cheap and paying early is optional. This is the classic weakness of restorative settlement in economic offences, and it is why the Court’s insistence that administrative sanctions should precede criminal ones is the operative part of its reasoning rather than an aside; an administrative surcharge is exactly the instrument that would make delay costly without criminalising it.</w:t>
      </w:r>
    </w:p>
    <w:p w14:paraId="3783F28F" w14:textId="5C55DCDD" w:rsidR="006E68E3" w:rsidRPr="006E68E3" w:rsidRDefault="006E68E3" w:rsidP="006E68E3">
      <w:pPr>
        <w:spacing w:after="120"/>
        <w:jc w:val="both"/>
        <w:rPr>
          <w:rFonts w:ascii="Cambria" w:eastAsia="Cambria" w:hAnsi="Cambria" w:cs="Times New Roman"/>
          <w:sz w:val="24"/>
          <w:szCs w:val="24"/>
          <w:lang w:val="en-AU" w:eastAsia="en-AU" w:bidi="ar-SA"/>
        </w:rPr>
      </w:pPr>
      <w:r w:rsidRPr="006E68E3">
        <w:rPr>
          <w:rFonts w:ascii="Cambria" w:eastAsia="Cambria" w:hAnsi="Cambria" w:cs="Times New Roman"/>
          <w:sz w:val="24"/>
          <w:szCs w:val="24"/>
          <w:lang w:val="en-AU" w:eastAsia="en-AU" w:bidi="ar-SA"/>
        </w:rPr>
        <w:t>The third risk is that publicity, not law, becomes the enforcement mechanism. The reputational exposure generated by the investigation almost certainly exceeded the financial exposure, and the presence of the Minister at the signing converted a private settlement into a national message.</w:t>
      </w:r>
      <w:r w:rsidRPr="006E68E3">
        <w:rPr>
          <w:rFonts w:ascii="Cambria" w:eastAsia="Cambria" w:hAnsi="Cambria" w:cs="Times New Roman"/>
          <w:sz w:val="24"/>
          <w:szCs w:val="24"/>
          <w:vertAlign w:val="superscript"/>
          <w:lang w:val="en-AU" w:eastAsia="en-AU" w:bidi="ar-SA"/>
        </w:rPr>
        <w:footnoteReference w:id="41"/>
      </w:r>
      <w:r w:rsidRPr="006E68E3">
        <w:rPr>
          <w:rFonts w:ascii="Cambria" w:eastAsia="Cambria" w:hAnsi="Cambria" w:cs="Times New Roman"/>
          <w:sz w:val="24"/>
          <w:szCs w:val="24"/>
          <w:lang w:val="en-AU" w:eastAsia="en-AU" w:bidi="ar-SA"/>
        </w:rPr>
        <w:t xml:space="preserve"> Enforcement by publicity is fast, but it is inconsistent, it depends on media interest rather than on breach, and it produces compliance in proportion to visibility rather than culpability. The subsequent Circular Letter of December 2025, which expressly names restaurants, cafés, hotels, shopping centres, and transport operators as commercial users,</w:t>
      </w:r>
      <w:r w:rsidRPr="006E68E3">
        <w:rPr>
          <w:rFonts w:ascii="Cambria" w:eastAsia="Cambria" w:hAnsi="Cambria" w:cs="Times New Roman"/>
          <w:sz w:val="24"/>
          <w:szCs w:val="24"/>
          <w:vertAlign w:val="superscript"/>
          <w:lang w:val="en-AU" w:eastAsia="en-AU" w:bidi="ar-SA"/>
        </w:rPr>
        <w:footnoteReference w:id="42"/>
      </w:r>
      <w:r w:rsidRPr="006E68E3">
        <w:rPr>
          <w:rFonts w:ascii="Cambria" w:eastAsia="Cambria" w:hAnsi="Cambria" w:cs="Times New Roman"/>
          <w:sz w:val="24"/>
          <w:szCs w:val="24"/>
          <w:lang w:val="en-AU" w:eastAsia="en-AU" w:bidi="ar-SA"/>
        </w:rPr>
        <w:t xml:space="preserve"> should be read in this light: it is an attempt to convert an episode into a systematic programme. Whether it succeeds depends on whether it is accompanied by the administrative infrastructure the episode revealed to be missing</w:t>
      </w:r>
      <w:r w:rsidRPr="006E68E3">
        <w:rPr>
          <w:rFonts w:ascii="Cambria" w:eastAsia="Cambria" w:hAnsi="Cambria" w:cs="Times New Roman"/>
          <w:sz w:val="24"/>
          <w:szCs w:val="24"/>
          <w:lang w:val="en-ID" w:eastAsia="en-ID" w:bidi="ar-SA"/>
        </w:rPr>
        <w:t xml:space="preserve"> </w:t>
      </w:r>
    </w:p>
    <w:p w14:paraId="5575A0C5" w14:textId="06EF4992" w:rsidR="00A90240" w:rsidRPr="00621443" w:rsidRDefault="00A90240" w:rsidP="00621443">
      <w:pPr>
        <w:jc w:val="both"/>
        <w:rPr>
          <w:rFonts w:ascii="Cambria" w:hAnsi="Cambria"/>
          <w:sz w:val="24"/>
          <w:szCs w:val="32"/>
        </w:rPr>
      </w:pPr>
    </w:p>
    <w:p w14:paraId="1CA57D89" w14:textId="77777777" w:rsidR="00A90240" w:rsidRDefault="00000000" w:rsidP="00C626FA">
      <w:pPr>
        <w:pStyle w:val="Heading1"/>
        <w:spacing w:line="240" w:lineRule="auto"/>
        <w:jc w:val="center"/>
        <w:rPr>
          <w:rFonts w:ascii="Cambria" w:eastAsia="EB Garamond" w:hAnsi="Cambria" w:cs="EB Garamond"/>
          <w:b/>
          <w:color w:val="215B57"/>
        </w:rPr>
      </w:pPr>
      <w:r>
        <w:rPr>
          <w:rFonts w:ascii="Cambria" w:eastAsia="EB Garamond" w:hAnsi="Cambria" w:cs="EB Garamond"/>
          <w:b/>
          <w:color w:val="215B57"/>
        </w:rPr>
        <w:t>Conclusion</w:t>
      </w:r>
    </w:p>
    <w:p w14:paraId="127976DA" w14:textId="77777777" w:rsidR="00C16486" w:rsidRPr="00C16486" w:rsidRDefault="00C16486" w:rsidP="00C16486">
      <w:pPr>
        <w:jc w:val="both"/>
        <w:rPr>
          <w:rFonts w:ascii="Cambria" w:eastAsia="EB Garamond" w:hAnsi="Cambria" w:cs="EB Garamond"/>
          <w:color w:val="000000"/>
          <w:sz w:val="24"/>
          <w:szCs w:val="24"/>
          <w:lang w:val="en-AU"/>
        </w:rPr>
      </w:pPr>
      <w:r w:rsidRPr="00C16486">
        <w:rPr>
          <w:rFonts w:ascii="Cambria" w:eastAsia="EB Garamond" w:hAnsi="Cambria" w:cs="EB Garamond"/>
          <w:color w:val="000000"/>
          <w:sz w:val="24"/>
          <w:szCs w:val="24"/>
          <w:lang w:val="en-AU"/>
        </w:rPr>
        <w:t xml:space="preserve">The enforcement of music royalties against a national restaurant chain succeeded in restoring the economic right in full and in securing prospective compliance, and it did so through a mechanism that cannot be repeated at the scale the regulation contemplates. Three years of persuasion produced nothing; four months of criminal exposure produced payment of IDR 2,264,502,000 across sixty-five outlets. Reconstructed against the statutory tariff of IDR 120,000 per seat per year, that sum implies roughly seventy-three to ninety-seven chargeable seats per outlet and an annual obligation of between eight and twelve million rupiah per outlet, an amount too small to make evasion rational. The breach is therefore best explained by legal culture and by a collection architecture that made the obligation invisible, not by </w:t>
      </w:r>
      <w:r w:rsidRPr="00C16486">
        <w:rPr>
          <w:rFonts w:ascii="Cambria" w:eastAsia="EB Garamond" w:hAnsi="Cambria" w:cs="EB Garamond"/>
          <w:color w:val="000000"/>
          <w:sz w:val="24"/>
          <w:szCs w:val="24"/>
          <w:lang w:val="en-AU"/>
        </w:rPr>
        <w:lastRenderedPageBreak/>
        <w:t>calculated resistance. That a single case moved close to three percent of national analogue collections is not a measure of the case; it is a measure of how little the system collects.</w:t>
      </w:r>
    </w:p>
    <w:p w14:paraId="58D135DA" w14:textId="77777777" w:rsidR="00C16486" w:rsidRPr="00C16486" w:rsidRDefault="00C16486" w:rsidP="00C16486">
      <w:pPr>
        <w:jc w:val="both"/>
        <w:rPr>
          <w:rFonts w:ascii="Cambria" w:eastAsia="EB Garamond" w:hAnsi="Cambria" w:cs="EB Garamond"/>
          <w:color w:val="000000"/>
          <w:sz w:val="24"/>
          <w:szCs w:val="24"/>
          <w:lang w:val="en-AU"/>
        </w:rPr>
      </w:pPr>
      <w:r w:rsidRPr="00C16486">
        <w:rPr>
          <w:rFonts w:ascii="Cambria" w:eastAsia="EB Garamond" w:hAnsi="Cambria" w:cs="EB Garamond"/>
          <w:color w:val="000000"/>
          <w:sz w:val="24"/>
          <w:szCs w:val="24"/>
          <w:lang w:val="en-AU"/>
        </w:rPr>
        <w:t>The Constitutional Court’s decision of 17 December 2025 has changed the standing of the settlement model rather than merely endorsing it. Restorative justice is now a constitutional condition on the use of criminal sanction in this field, and reasonable remuneration is now legally tied to the tariff. Both developments vindicate the shape of the settlement. But the same decision withdraws the instrument that produced it, and it does so in a regime that has no administrative rung between a demand letter and a police report. The model is therefore replicable in form and not in force. It will remain just only if the administrative sanction the Court presupposed is actually enacted; without it, enforcement will continue to reach the largest and most visible users and to leave the rest untouched, which is a poor foundation for a system that claims to protect creators generally.</w:t>
      </w:r>
    </w:p>
    <w:p w14:paraId="4C76FD3B" w14:textId="6D0BCFEC" w:rsidR="00A90240" w:rsidRDefault="00C16486" w:rsidP="00C16486">
      <w:pPr>
        <w:jc w:val="both"/>
        <w:rPr>
          <w:rFonts w:ascii="Cambria" w:eastAsia="EB Garamond" w:hAnsi="Cambria" w:cs="EB Garamond"/>
          <w:color w:val="000000"/>
          <w:sz w:val="24"/>
          <w:szCs w:val="24"/>
        </w:rPr>
      </w:pPr>
      <w:r w:rsidRPr="00C16486">
        <w:rPr>
          <w:rFonts w:ascii="Cambria" w:eastAsia="EB Garamond" w:hAnsi="Cambria" w:cs="EB Garamond"/>
          <w:color w:val="000000"/>
          <w:sz w:val="24"/>
          <w:szCs w:val="24"/>
          <w:lang w:val="en-AU"/>
        </w:rPr>
        <w:t>What follows is not a call for harsher penalties. It is a call to build the middle of the pyramid: to link royalty compliance to business licensing so that the obligation announces itself, to legislate a surcharge that makes delay costly without criminalising it, and to give the collecting institution the audit capacity that self-assessment presupposes. Until then, the case will be remembered as the moment the obligation became visible, rather than as the moment it became effective</w:t>
      </w:r>
    </w:p>
    <w:p w14:paraId="7CE48F97" w14:textId="77777777" w:rsidR="00653E1C" w:rsidRDefault="00653E1C" w:rsidP="00621443">
      <w:pPr>
        <w:jc w:val="both"/>
        <w:rPr>
          <w:rFonts w:ascii="Cambria" w:eastAsia="EB Garamond" w:hAnsi="Cambria" w:cs="EB Garamond"/>
          <w:color w:val="000000"/>
          <w:sz w:val="24"/>
          <w:szCs w:val="24"/>
        </w:rPr>
      </w:pPr>
    </w:p>
    <w:p w14:paraId="0BDD94A8" w14:textId="38CBC8C8" w:rsidR="00A90240" w:rsidRPr="00621443" w:rsidRDefault="00000000" w:rsidP="00621443">
      <w:pPr>
        <w:spacing w:before="120" w:after="0"/>
        <w:jc w:val="center"/>
        <w:rPr>
          <w:rFonts w:ascii="Cambria" w:eastAsia="EB Garamond" w:hAnsi="Cambria" w:cs="EB Garamond"/>
          <w:b/>
          <w:bCs/>
          <w:iCs/>
          <w:color w:val="215B57"/>
          <w:sz w:val="28"/>
        </w:rPr>
      </w:pPr>
      <w:r w:rsidRPr="00621443">
        <w:rPr>
          <w:rFonts w:ascii="Cambria" w:eastAsia="EB Garamond" w:hAnsi="Cambria" w:cs="EB Garamond"/>
          <w:b/>
          <w:bCs/>
          <w:iCs/>
          <w:color w:val="215B57"/>
          <w:sz w:val="28"/>
        </w:rPr>
        <w:t>Reference</w:t>
      </w:r>
      <w:r w:rsidR="00621443" w:rsidRPr="00621443">
        <w:rPr>
          <w:rFonts w:ascii="Cambria" w:eastAsia="EB Garamond" w:hAnsi="Cambria" w:cs="EB Garamond"/>
          <w:b/>
          <w:bCs/>
          <w:iCs/>
          <w:color w:val="215B57"/>
          <w:sz w:val="28"/>
        </w:rPr>
        <w:t>s</w:t>
      </w:r>
    </w:p>
    <w:p w14:paraId="6B515608" w14:textId="77777777" w:rsidR="00A90240" w:rsidRPr="00C626FA" w:rsidRDefault="00000000" w:rsidP="00621443">
      <w:pPr>
        <w:spacing w:before="240" w:after="0" w:line="240" w:lineRule="auto"/>
        <w:jc w:val="center"/>
        <w:rPr>
          <w:rFonts w:ascii="Cambria" w:eastAsia="EB Garamond" w:hAnsi="Cambria" w:cs="EB Garamond"/>
          <w:b/>
          <w:color w:val="215B57"/>
          <w:sz w:val="28"/>
        </w:rPr>
      </w:pPr>
      <w:r w:rsidRPr="00C626FA">
        <w:rPr>
          <w:rFonts w:ascii="Cambria" w:eastAsia="EB Garamond" w:hAnsi="Cambria" w:cs="EB Garamond"/>
          <w:b/>
          <w:bCs/>
          <w:color w:val="215B57"/>
          <w:szCs w:val="22"/>
        </w:rPr>
        <w:t>Statute</w:t>
      </w:r>
    </w:p>
    <w:p w14:paraId="18F39D31" w14:textId="77777777" w:rsidR="00C16486" w:rsidRPr="00C16486" w:rsidRDefault="00C16486" w:rsidP="00C16486">
      <w:pPr>
        <w:spacing w:before="240" w:after="100" w:line="240" w:lineRule="auto"/>
        <w:ind w:left="720" w:hanging="720"/>
        <w:jc w:val="both"/>
        <w:rPr>
          <w:rFonts w:ascii="Times New Roman" w:eastAsia="Cambria" w:hAnsi="Times New Roman" w:cs="Times New Roman"/>
          <w:sz w:val="24"/>
          <w:szCs w:val="24"/>
          <w:lang w:val="en-AU" w:eastAsia="en-AU" w:bidi="ar-SA"/>
        </w:rPr>
      </w:pPr>
      <w:r w:rsidRPr="00C16486">
        <w:rPr>
          <w:rFonts w:ascii="Times New Roman" w:eastAsia="Cambria" w:hAnsi="Times New Roman" w:cs="Times New Roman"/>
          <w:sz w:val="24"/>
          <w:szCs w:val="24"/>
          <w:lang w:val="en-AU" w:eastAsia="en-AU" w:bidi="ar-SA"/>
        </w:rPr>
        <w:t xml:space="preserve">Constitutional Court of the Republic of Indonesia. </w:t>
      </w:r>
      <w:r w:rsidRPr="00C16486">
        <w:rPr>
          <w:rFonts w:ascii="Times New Roman" w:eastAsia="Cambria" w:hAnsi="Times New Roman" w:cs="Times New Roman"/>
          <w:i/>
          <w:iCs/>
          <w:sz w:val="24"/>
          <w:szCs w:val="24"/>
          <w:lang w:val="en-AU" w:eastAsia="en-AU" w:bidi="ar-SA"/>
        </w:rPr>
        <w:t>Decision Number 28/PUU-XXIII/2025</w:t>
      </w:r>
      <w:r w:rsidRPr="00C16486">
        <w:rPr>
          <w:rFonts w:ascii="Times New Roman" w:eastAsia="Cambria" w:hAnsi="Times New Roman" w:cs="Times New Roman"/>
          <w:sz w:val="24"/>
          <w:szCs w:val="24"/>
          <w:lang w:val="en-AU" w:eastAsia="en-AU" w:bidi="ar-SA"/>
        </w:rPr>
        <w:t>. Pronounced 17 December 2025.</w:t>
      </w:r>
    </w:p>
    <w:p w14:paraId="54E2218A" w14:textId="77777777" w:rsidR="00C16486" w:rsidRPr="00C16486" w:rsidRDefault="00C16486" w:rsidP="00C16486">
      <w:pPr>
        <w:spacing w:before="240" w:after="100" w:line="240" w:lineRule="auto"/>
        <w:ind w:left="720" w:hanging="720"/>
        <w:jc w:val="both"/>
        <w:rPr>
          <w:rFonts w:ascii="Times New Roman" w:eastAsia="Cambria" w:hAnsi="Times New Roman" w:cs="Times New Roman"/>
          <w:sz w:val="24"/>
          <w:szCs w:val="24"/>
          <w:lang w:val="en-AU" w:eastAsia="en-AU" w:bidi="ar-SA"/>
        </w:rPr>
      </w:pPr>
      <w:r w:rsidRPr="00C16486">
        <w:rPr>
          <w:rFonts w:ascii="Times New Roman" w:eastAsia="Cambria" w:hAnsi="Times New Roman" w:cs="Times New Roman"/>
          <w:sz w:val="24"/>
          <w:szCs w:val="24"/>
          <w:lang w:val="en-AU" w:eastAsia="en-AU" w:bidi="ar-SA"/>
        </w:rPr>
        <w:t xml:space="preserve">Constitutional Court of the Republic of Indonesia. </w:t>
      </w:r>
      <w:r w:rsidRPr="00C16486">
        <w:rPr>
          <w:rFonts w:ascii="Times New Roman" w:eastAsia="Cambria" w:hAnsi="Times New Roman" w:cs="Times New Roman"/>
          <w:i/>
          <w:iCs/>
          <w:sz w:val="24"/>
          <w:szCs w:val="24"/>
          <w:lang w:val="en-AU" w:eastAsia="en-AU" w:bidi="ar-SA"/>
        </w:rPr>
        <w:t>Decision Number 37/PUU-XXIII/2025</w:t>
      </w:r>
      <w:r w:rsidRPr="00C16486">
        <w:rPr>
          <w:rFonts w:ascii="Times New Roman" w:eastAsia="Cambria" w:hAnsi="Times New Roman" w:cs="Times New Roman"/>
          <w:sz w:val="24"/>
          <w:szCs w:val="24"/>
          <w:lang w:val="en-AU" w:eastAsia="en-AU" w:bidi="ar-SA"/>
        </w:rPr>
        <w:t>. Pronounced 17 December 2025.</w:t>
      </w:r>
    </w:p>
    <w:p w14:paraId="022D8294" w14:textId="77777777" w:rsidR="00C16486" w:rsidRPr="00C16486" w:rsidRDefault="00C16486" w:rsidP="00C16486">
      <w:pPr>
        <w:spacing w:before="240" w:after="100" w:line="240" w:lineRule="auto"/>
        <w:ind w:left="720" w:hanging="720"/>
        <w:jc w:val="both"/>
        <w:rPr>
          <w:rFonts w:ascii="Times New Roman" w:eastAsia="Cambria" w:hAnsi="Times New Roman" w:cs="Times New Roman"/>
          <w:sz w:val="24"/>
          <w:szCs w:val="24"/>
          <w:lang w:val="en-AU" w:eastAsia="en-AU" w:bidi="ar-SA"/>
        </w:rPr>
      </w:pPr>
      <w:r w:rsidRPr="00C16486">
        <w:rPr>
          <w:rFonts w:ascii="Times New Roman" w:eastAsia="Cambria" w:hAnsi="Times New Roman" w:cs="Times New Roman"/>
          <w:sz w:val="24"/>
          <w:szCs w:val="24"/>
          <w:lang w:val="en-AU" w:eastAsia="en-AU" w:bidi="ar-SA"/>
        </w:rPr>
        <w:t xml:space="preserve">Director General of Intellectual Property. </w:t>
      </w:r>
      <w:r w:rsidRPr="00C16486">
        <w:rPr>
          <w:rFonts w:ascii="Times New Roman" w:eastAsia="Cambria" w:hAnsi="Times New Roman" w:cs="Times New Roman"/>
          <w:i/>
          <w:iCs/>
          <w:sz w:val="24"/>
          <w:szCs w:val="24"/>
          <w:lang w:val="en-AU" w:eastAsia="en-AU" w:bidi="ar-SA"/>
        </w:rPr>
        <w:t>Circular Letter Number HKI-92.KI.01.04 of 2025 on the Obligation to Pay Song and/or Music Royalties in Commercial Public Spaces</w:t>
      </w:r>
      <w:r w:rsidRPr="00C16486">
        <w:rPr>
          <w:rFonts w:ascii="Times New Roman" w:eastAsia="Cambria" w:hAnsi="Times New Roman" w:cs="Times New Roman"/>
          <w:sz w:val="24"/>
          <w:szCs w:val="24"/>
          <w:lang w:val="en-AU" w:eastAsia="en-AU" w:bidi="ar-SA"/>
        </w:rPr>
        <w:t>. Jakarta: Ministry of Law, 2025.</w:t>
      </w:r>
    </w:p>
    <w:p w14:paraId="26F71A45" w14:textId="77777777" w:rsidR="00C16486" w:rsidRPr="00C16486" w:rsidRDefault="00C16486" w:rsidP="00C16486">
      <w:pPr>
        <w:spacing w:before="240" w:after="100" w:line="240" w:lineRule="auto"/>
        <w:ind w:left="720" w:hanging="720"/>
        <w:jc w:val="both"/>
        <w:rPr>
          <w:rFonts w:ascii="Times New Roman" w:eastAsia="Cambria" w:hAnsi="Times New Roman" w:cs="Times New Roman"/>
          <w:sz w:val="24"/>
          <w:szCs w:val="24"/>
          <w:lang w:val="en-AU" w:eastAsia="en-AU" w:bidi="ar-SA"/>
        </w:rPr>
      </w:pPr>
      <w:r w:rsidRPr="00C16486">
        <w:rPr>
          <w:rFonts w:ascii="Times New Roman" w:eastAsia="Cambria" w:hAnsi="Times New Roman" w:cs="Times New Roman"/>
          <w:sz w:val="24"/>
          <w:szCs w:val="24"/>
          <w:lang w:val="en-AU" w:eastAsia="en-AU" w:bidi="ar-SA"/>
        </w:rPr>
        <w:t xml:space="preserve">Minister of Law and Human Rights of the Republic of Indonesia. </w:t>
      </w:r>
      <w:r w:rsidRPr="00C16486">
        <w:rPr>
          <w:rFonts w:ascii="Times New Roman" w:eastAsia="Cambria" w:hAnsi="Times New Roman" w:cs="Times New Roman"/>
          <w:i/>
          <w:iCs/>
          <w:sz w:val="24"/>
          <w:szCs w:val="24"/>
          <w:lang w:val="en-AU" w:eastAsia="en-AU" w:bidi="ar-SA"/>
        </w:rPr>
        <w:t>Decree Number HKI.2.OT.03.01-02 of 2016 on the Ratification of Royalty Tariffs for Users Making Commercial Use of Works and/or Related Rights Products of Music and Songs</w:t>
      </w:r>
      <w:r w:rsidRPr="00C16486">
        <w:rPr>
          <w:rFonts w:ascii="Times New Roman" w:eastAsia="Cambria" w:hAnsi="Times New Roman" w:cs="Times New Roman"/>
          <w:sz w:val="24"/>
          <w:szCs w:val="24"/>
          <w:lang w:val="en-AU" w:eastAsia="en-AU" w:bidi="ar-SA"/>
        </w:rPr>
        <w:t>. Jakarta, 2016.</w:t>
      </w:r>
    </w:p>
    <w:p w14:paraId="70B78CE0" w14:textId="77777777" w:rsidR="00C16486" w:rsidRPr="00C16486" w:rsidRDefault="00C16486" w:rsidP="00C16486">
      <w:pPr>
        <w:spacing w:before="240" w:after="100" w:line="240" w:lineRule="auto"/>
        <w:ind w:left="720" w:hanging="720"/>
        <w:jc w:val="both"/>
        <w:rPr>
          <w:rFonts w:ascii="Times New Roman" w:eastAsia="Cambria" w:hAnsi="Times New Roman" w:cs="Times New Roman"/>
          <w:sz w:val="24"/>
          <w:szCs w:val="24"/>
          <w:lang w:val="en-AU" w:eastAsia="en-AU" w:bidi="ar-SA"/>
        </w:rPr>
      </w:pPr>
      <w:r w:rsidRPr="00C16486">
        <w:rPr>
          <w:rFonts w:ascii="Times New Roman" w:eastAsia="Cambria" w:hAnsi="Times New Roman" w:cs="Times New Roman"/>
          <w:sz w:val="24"/>
          <w:szCs w:val="24"/>
          <w:lang w:val="en-AU" w:eastAsia="en-AU" w:bidi="ar-SA"/>
        </w:rPr>
        <w:lastRenderedPageBreak/>
        <w:t xml:space="preserve">Minister of Law of the Republic of Indonesia. </w:t>
      </w:r>
      <w:r w:rsidRPr="00C16486">
        <w:rPr>
          <w:rFonts w:ascii="Times New Roman" w:eastAsia="Cambria" w:hAnsi="Times New Roman" w:cs="Times New Roman"/>
          <w:i/>
          <w:iCs/>
          <w:sz w:val="24"/>
          <w:szCs w:val="24"/>
          <w:lang w:val="en-AU" w:eastAsia="en-AU" w:bidi="ar-SA"/>
        </w:rPr>
        <w:t>Regulation Number 27 of 2025 on the Implementing Regulation of Government Regulation Number 56 of 2021 on the Management of Song and/or Music Copyright Royalties</w:t>
      </w:r>
      <w:r w:rsidRPr="00C16486">
        <w:rPr>
          <w:rFonts w:ascii="Times New Roman" w:eastAsia="Cambria" w:hAnsi="Times New Roman" w:cs="Times New Roman"/>
          <w:sz w:val="24"/>
          <w:szCs w:val="24"/>
          <w:lang w:val="en-AU" w:eastAsia="en-AU" w:bidi="ar-SA"/>
        </w:rPr>
        <w:t>. Jakarta, 2025.</w:t>
      </w:r>
    </w:p>
    <w:p w14:paraId="02C0BA90" w14:textId="77777777" w:rsidR="00C16486" w:rsidRDefault="00C16486" w:rsidP="00C16486">
      <w:pPr>
        <w:spacing w:before="240" w:after="100" w:line="240" w:lineRule="auto"/>
        <w:ind w:left="720" w:hanging="720"/>
        <w:jc w:val="both"/>
        <w:rPr>
          <w:rFonts w:ascii="Times New Roman" w:eastAsia="Cambria" w:hAnsi="Times New Roman" w:cs="Times New Roman"/>
          <w:sz w:val="24"/>
          <w:szCs w:val="24"/>
          <w:lang w:val="en-AU" w:eastAsia="en-AU" w:bidi="ar-SA"/>
        </w:rPr>
      </w:pPr>
      <w:r w:rsidRPr="00C16486">
        <w:rPr>
          <w:rFonts w:ascii="Times New Roman" w:eastAsia="Cambria" w:hAnsi="Times New Roman" w:cs="Times New Roman"/>
          <w:sz w:val="24"/>
          <w:szCs w:val="24"/>
          <w:lang w:val="en-AU" w:eastAsia="en-AU" w:bidi="ar-SA"/>
        </w:rPr>
        <w:t xml:space="preserve">Republic of Indonesia. </w:t>
      </w:r>
      <w:r w:rsidRPr="00C16486">
        <w:rPr>
          <w:rFonts w:ascii="Times New Roman" w:eastAsia="Cambria" w:hAnsi="Times New Roman" w:cs="Times New Roman"/>
          <w:i/>
          <w:iCs/>
          <w:sz w:val="24"/>
          <w:szCs w:val="24"/>
          <w:lang w:val="en-AU" w:eastAsia="en-AU" w:bidi="ar-SA"/>
        </w:rPr>
        <w:t>Government Regulation Number 56 of 2021 on the Management of Song and/or Music Copyright Royalties</w:t>
      </w:r>
      <w:r w:rsidRPr="00C16486">
        <w:rPr>
          <w:rFonts w:ascii="Times New Roman" w:eastAsia="Cambria" w:hAnsi="Times New Roman" w:cs="Times New Roman"/>
          <w:sz w:val="24"/>
          <w:szCs w:val="24"/>
          <w:lang w:val="en-AU" w:eastAsia="en-AU" w:bidi="ar-SA"/>
        </w:rPr>
        <w:t>. State Gazette of 2021 Number 86, Supplement Number 6664.</w:t>
      </w:r>
    </w:p>
    <w:p w14:paraId="47DAF2E0" w14:textId="207E889E" w:rsidR="00C16486" w:rsidRDefault="00C16486" w:rsidP="00C16486">
      <w:pPr>
        <w:spacing w:before="240" w:after="100" w:line="240" w:lineRule="auto"/>
        <w:ind w:left="720" w:hanging="720"/>
        <w:jc w:val="both"/>
        <w:rPr>
          <w:rFonts w:ascii="Times New Roman" w:eastAsia="Cambria" w:hAnsi="Times New Roman" w:cs="Times New Roman"/>
          <w:sz w:val="24"/>
          <w:szCs w:val="24"/>
          <w:lang w:val="en-AU" w:eastAsia="en-AU" w:bidi="ar-SA"/>
        </w:rPr>
      </w:pPr>
      <w:r w:rsidRPr="00C16486">
        <w:rPr>
          <w:rFonts w:ascii="Times New Roman" w:eastAsia="Cambria" w:hAnsi="Times New Roman" w:cs="Times New Roman"/>
          <w:sz w:val="24"/>
          <w:szCs w:val="24"/>
          <w:lang w:val="en-AU" w:eastAsia="en-AU" w:bidi="ar-SA"/>
        </w:rPr>
        <w:t xml:space="preserve">Republic of Indonesia. </w:t>
      </w:r>
      <w:r w:rsidRPr="00C16486">
        <w:rPr>
          <w:rFonts w:ascii="Times New Roman" w:eastAsia="Cambria" w:hAnsi="Times New Roman" w:cs="Times New Roman"/>
          <w:i/>
          <w:iCs/>
          <w:sz w:val="24"/>
          <w:szCs w:val="24"/>
          <w:lang w:val="en-AU" w:eastAsia="en-AU" w:bidi="ar-SA"/>
        </w:rPr>
        <w:t>Law Number 28 of 2014 on Copyright</w:t>
      </w:r>
      <w:r w:rsidRPr="00C16486">
        <w:rPr>
          <w:rFonts w:ascii="Times New Roman" w:eastAsia="Cambria" w:hAnsi="Times New Roman" w:cs="Times New Roman"/>
          <w:sz w:val="24"/>
          <w:szCs w:val="24"/>
          <w:lang w:val="en-AU" w:eastAsia="en-AU" w:bidi="ar-SA"/>
        </w:rPr>
        <w:t>. State Gazette of 2014 Number 266, Supplement Number 5599</w:t>
      </w:r>
      <w:r>
        <w:rPr>
          <w:rFonts w:ascii="Times New Roman" w:eastAsia="Cambria" w:hAnsi="Times New Roman" w:cs="Times New Roman"/>
          <w:sz w:val="24"/>
          <w:szCs w:val="24"/>
          <w:lang w:val="en-AU" w:eastAsia="en-AU" w:bidi="ar-SA"/>
        </w:rPr>
        <w:t>/</w:t>
      </w:r>
    </w:p>
    <w:p w14:paraId="21FE89FD" w14:textId="680B7992" w:rsidR="00C16486" w:rsidRPr="00C16486" w:rsidRDefault="00C16486" w:rsidP="00C16486">
      <w:pPr>
        <w:spacing w:before="240" w:after="100" w:line="360" w:lineRule="auto"/>
        <w:ind w:left="720" w:hanging="436"/>
        <w:jc w:val="center"/>
        <w:rPr>
          <w:rFonts w:ascii="Cambria" w:eastAsia="EB Garamond" w:hAnsi="Cambria" w:cs="EB Garamond"/>
          <w:b/>
          <w:bCs/>
          <w:color w:val="215B57"/>
          <w:szCs w:val="22"/>
          <w:lang w:val="fi-FI"/>
        </w:rPr>
      </w:pPr>
      <w:proofErr w:type="spellStart"/>
      <w:r w:rsidRPr="00C16486">
        <w:rPr>
          <w:rFonts w:ascii="Cambria" w:eastAsia="EB Garamond" w:hAnsi="Cambria" w:cs="EB Garamond"/>
          <w:b/>
          <w:bCs/>
          <w:color w:val="215B57"/>
          <w:szCs w:val="22"/>
          <w:lang w:val="fi-FI"/>
        </w:rPr>
        <w:t>Book</w:t>
      </w:r>
      <w:proofErr w:type="spellEnd"/>
      <w:r w:rsidRPr="00C16486">
        <w:rPr>
          <w:rFonts w:ascii="Cambria" w:eastAsia="EB Garamond" w:hAnsi="Cambria" w:cs="EB Garamond"/>
          <w:b/>
          <w:bCs/>
          <w:color w:val="215B57"/>
          <w:szCs w:val="22"/>
          <w:lang w:val="fi-FI"/>
        </w:rPr>
        <w:t>:</w:t>
      </w:r>
    </w:p>
    <w:p w14:paraId="2C0DEF2E" w14:textId="77777777" w:rsidR="00C16486" w:rsidRPr="00C16486" w:rsidRDefault="00C16486" w:rsidP="00C16486">
      <w:pPr>
        <w:spacing w:before="240" w:after="100" w:line="240" w:lineRule="auto"/>
        <w:ind w:left="720" w:hanging="720"/>
        <w:jc w:val="both"/>
        <w:rPr>
          <w:rFonts w:ascii="Times New Roman" w:eastAsia="Cambria" w:hAnsi="Times New Roman" w:cs="Times New Roman"/>
          <w:sz w:val="24"/>
          <w:szCs w:val="24"/>
          <w:lang w:val="fi-FI" w:eastAsia="en-AU" w:bidi="ar-SA"/>
        </w:rPr>
      </w:pPr>
      <w:r w:rsidRPr="00C16486">
        <w:rPr>
          <w:rFonts w:ascii="Times New Roman" w:eastAsia="Cambria" w:hAnsi="Times New Roman" w:cs="Times New Roman"/>
          <w:sz w:val="24"/>
          <w:szCs w:val="24"/>
          <w:lang w:val="fi-FI" w:eastAsia="en-AU" w:bidi="ar-SA"/>
        </w:rPr>
        <w:t xml:space="preserve">Ali, </w:t>
      </w:r>
      <w:proofErr w:type="spellStart"/>
      <w:r w:rsidRPr="00C16486">
        <w:rPr>
          <w:rFonts w:ascii="Times New Roman" w:eastAsia="Cambria" w:hAnsi="Times New Roman" w:cs="Times New Roman"/>
          <w:sz w:val="24"/>
          <w:szCs w:val="24"/>
          <w:lang w:val="fi-FI" w:eastAsia="en-AU" w:bidi="ar-SA"/>
        </w:rPr>
        <w:t>Zainuddin</w:t>
      </w:r>
      <w:proofErr w:type="spellEnd"/>
      <w:r w:rsidRPr="00C16486">
        <w:rPr>
          <w:rFonts w:ascii="Times New Roman" w:eastAsia="Cambria" w:hAnsi="Times New Roman" w:cs="Times New Roman"/>
          <w:sz w:val="24"/>
          <w:szCs w:val="24"/>
          <w:lang w:val="fi-FI" w:eastAsia="en-AU" w:bidi="ar-SA"/>
        </w:rPr>
        <w:t xml:space="preserve">. </w:t>
      </w:r>
      <w:proofErr w:type="spellStart"/>
      <w:r w:rsidRPr="00C16486">
        <w:rPr>
          <w:rFonts w:ascii="Times New Roman" w:eastAsia="Cambria" w:hAnsi="Times New Roman" w:cs="Times New Roman"/>
          <w:i/>
          <w:iCs/>
          <w:sz w:val="24"/>
          <w:szCs w:val="24"/>
          <w:lang w:val="fi-FI" w:eastAsia="en-AU" w:bidi="ar-SA"/>
        </w:rPr>
        <w:t>Metode</w:t>
      </w:r>
      <w:proofErr w:type="spellEnd"/>
      <w:r w:rsidRPr="00C16486">
        <w:rPr>
          <w:rFonts w:ascii="Times New Roman" w:eastAsia="Cambria" w:hAnsi="Times New Roman" w:cs="Times New Roman"/>
          <w:i/>
          <w:iCs/>
          <w:sz w:val="24"/>
          <w:szCs w:val="24"/>
          <w:lang w:val="fi-FI" w:eastAsia="en-AU" w:bidi="ar-SA"/>
        </w:rPr>
        <w:t xml:space="preserve"> </w:t>
      </w:r>
      <w:proofErr w:type="spellStart"/>
      <w:r w:rsidRPr="00C16486">
        <w:rPr>
          <w:rFonts w:ascii="Times New Roman" w:eastAsia="Cambria" w:hAnsi="Times New Roman" w:cs="Times New Roman"/>
          <w:i/>
          <w:iCs/>
          <w:sz w:val="24"/>
          <w:szCs w:val="24"/>
          <w:lang w:val="fi-FI" w:eastAsia="en-AU" w:bidi="ar-SA"/>
        </w:rPr>
        <w:t>Penelitian</w:t>
      </w:r>
      <w:proofErr w:type="spellEnd"/>
      <w:r w:rsidRPr="00C16486">
        <w:rPr>
          <w:rFonts w:ascii="Times New Roman" w:eastAsia="Cambria" w:hAnsi="Times New Roman" w:cs="Times New Roman"/>
          <w:i/>
          <w:iCs/>
          <w:sz w:val="24"/>
          <w:szCs w:val="24"/>
          <w:lang w:val="fi-FI" w:eastAsia="en-AU" w:bidi="ar-SA"/>
        </w:rPr>
        <w:t xml:space="preserve"> </w:t>
      </w:r>
      <w:proofErr w:type="spellStart"/>
      <w:r w:rsidRPr="00C16486">
        <w:rPr>
          <w:rFonts w:ascii="Times New Roman" w:eastAsia="Cambria" w:hAnsi="Times New Roman" w:cs="Times New Roman"/>
          <w:i/>
          <w:iCs/>
          <w:sz w:val="24"/>
          <w:szCs w:val="24"/>
          <w:lang w:val="fi-FI" w:eastAsia="en-AU" w:bidi="ar-SA"/>
        </w:rPr>
        <w:t>Hukum</w:t>
      </w:r>
      <w:proofErr w:type="spellEnd"/>
      <w:r w:rsidRPr="00C16486">
        <w:rPr>
          <w:rFonts w:ascii="Times New Roman" w:eastAsia="Cambria" w:hAnsi="Times New Roman" w:cs="Times New Roman"/>
          <w:sz w:val="24"/>
          <w:szCs w:val="24"/>
          <w:lang w:val="fi-FI" w:eastAsia="en-AU" w:bidi="ar-SA"/>
        </w:rPr>
        <w:t xml:space="preserve">. Jakarta: </w:t>
      </w:r>
      <w:proofErr w:type="spellStart"/>
      <w:r w:rsidRPr="00C16486">
        <w:rPr>
          <w:rFonts w:ascii="Times New Roman" w:eastAsia="Cambria" w:hAnsi="Times New Roman" w:cs="Times New Roman"/>
          <w:sz w:val="24"/>
          <w:szCs w:val="24"/>
          <w:lang w:val="fi-FI" w:eastAsia="en-AU" w:bidi="ar-SA"/>
        </w:rPr>
        <w:t>Sinar</w:t>
      </w:r>
      <w:proofErr w:type="spellEnd"/>
      <w:r w:rsidRPr="00C16486">
        <w:rPr>
          <w:rFonts w:ascii="Times New Roman" w:eastAsia="Cambria" w:hAnsi="Times New Roman" w:cs="Times New Roman"/>
          <w:sz w:val="24"/>
          <w:szCs w:val="24"/>
          <w:lang w:val="fi-FI" w:eastAsia="en-AU" w:bidi="ar-SA"/>
        </w:rPr>
        <w:t xml:space="preserve"> </w:t>
      </w:r>
      <w:proofErr w:type="spellStart"/>
      <w:r w:rsidRPr="00C16486">
        <w:rPr>
          <w:rFonts w:ascii="Times New Roman" w:eastAsia="Cambria" w:hAnsi="Times New Roman" w:cs="Times New Roman"/>
          <w:sz w:val="24"/>
          <w:szCs w:val="24"/>
          <w:lang w:val="fi-FI" w:eastAsia="en-AU" w:bidi="ar-SA"/>
        </w:rPr>
        <w:t>Grafika</w:t>
      </w:r>
      <w:proofErr w:type="spellEnd"/>
      <w:r w:rsidRPr="00C16486">
        <w:rPr>
          <w:rFonts w:ascii="Times New Roman" w:eastAsia="Cambria" w:hAnsi="Times New Roman" w:cs="Times New Roman"/>
          <w:sz w:val="24"/>
          <w:szCs w:val="24"/>
          <w:lang w:val="fi-FI" w:eastAsia="en-AU" w:bidi="ar-SA"/>
        </w:rPr>
        <w:t>, 2021.</w:t>
      </w:r>
    </w:p>
    <w:p w14:paraId="2D9D875C" w14:textId="77777777" w:rsidR="00C16486" w:rsidRPr="00C16486" w:rsidRDefault="00C16486" w:rsidP="00C16486">
      <w:pPr>
        <w:spacing w:before="240" w:after="100" w:line="240" w:lineRule="auto"/>
        <w:ind w:left="720" w:hanging="720"/>
        <w:jc w:val="both"/>
        <w:rPr>
          <w:rFonts w:ascii="Times New Roman" w:eastAsia="Cambria" w:hAnsi="Times New Roman" w:cs="Times New Roman"/>
          <w:sz w:val="24"/>
          <w:szCs w:val="24"/>
          <w:lang w:val="en-AU" w:eastAsia="en-AU" w:bidi="ar-SA"/>
        </w:rPr>
      </w:pPr>
      <w:r w:rsidRPr="00C16486">
        <w:rPr>
          <w:rFonts w:ascii="Times New Roman" w:eastAsia="Cambria" w:hAnsi="Times New Roman" w:cs="Times New Roman"/>
          <w:sz w:val="24"/>
          <w:szCs w:val="24"/>
          <w:lang w:val="en-AU" w:eastAsia="en-AU" w:bidi="ar-SA"/>
        </w:rPr>
        <w:t xml:space="preserve">Ayres, Ian, and John Braithwaite. </w:t>
      </w:r>
      <w:r w:rsidRPr="00C16486">
        <w:rPr>
          <w:rFonts w:ascii="Times New Roman" w:eastAsia="Cambria" w:hAnsi="Times New Roman" w:cs="Times New Roman"/>
          <w:i/>
          <w:iCs/>
          <w:sz w:val="24"/>
          <w:szCs w:val="24"/>
          <w:lang w:val="en-AU" w:eastAsia="en-AU" w:bidi="ar-SA"/>
        </w:rPr>
        <w:t>Responsive Regulation: Transcending the Deregulation Debate</w:t>
      </w:r>
      <w:r w:rsidRPr="00C16486">
        <w:rPr>
          <w:rFonts w:ascii="Times New Roman" w:eastAsia="Cambria" w:hAnsi="Times New Roman" w:cs="Times New Roman"/>
          <w:sz w:val="24"/>
          <w:szCs w:val="24"/>
          <w:lang w:val="en-AU" w:eastAsia="en-AU" w:bidi="ar-SA"/>
        </w:rPr>
        <w:t>. New York: Oxford University Press, 1992.</w:t>
      </w:r>
    </w:p>
    <w:p w14:paraId="0F5EB17C" w14:textId="77777777" w:rsidR="00C16486" w:rsidRPr="00C16486" w:rsidRDefault="00C16486" w:rsidP="00C16486">
      <w:pPr>
        <w:spacing w:before="240" w:after="100" w:line="240" w:lineRule="auto"/>
        <w:ind w:left="720" w:hanging="720"/>
        <w:jc w:val="both"/>
        <w:rPr>
          <w:rFonts w:ascii="Times New Roman" w:eastAsia="Cambria" w:hAnsi="Times New Roman" w:cs="Times New Roman"/>
          <w:sz w:val="24"/>
          <w:szCs w:val="24"/>
          <w:lang w:val="en-AU" w:eastAsia="en-AU" w:bidi="ar-SA"/>
        </w:rPr>
      </w:pPr>
      <w:r w:rsidRPr="00C16486">
        <w:rPr>
          <w:rFonts w:ascii="Times New Roman" w:eastAsia="Cambria" w:hAnsi="Times New Roman" w:cs="Times New Roman"/>
          <w:sz w:val="24"/>
          <w:szCs w:val="24"/>
          <w:lang w:val="en-AU" w:eastAsia="en-AU" w:bidi="ar-SA"/>
        </w:rPr>
        <w:t xml:space="preserve">Braithwaite, John. </w:t>
      </w:r>
      <w:r w:rsidRPr="00C16486">
        <w:rPr>
          <w:rFonts w:ascii="Times New Roman" w:eastAsia="Cambria" w:hAnsi="Times New Roman" w:cs="Times New Roman"/>
          <w:i/>
          <w:iCs/>
          <w:sz w:val="24"/>
          <w:szCs w:val="24"/>
          <w:lang w:val="en-AU" w:eastAsia="en-AU" w:bidi="ar-SA"/>
        </w:rPr>
        <w:t>Crime, Shame and Reintegration</w:t>
      </w:r>
      <w:r w:rsidRPr="00C16486">
        <w:rPr>
          <w:rFonts w:ascii="Times New Roman" w:eastAsia="Cambria" w:hAnsi="Times New Roman" w:cs="Times New Roman"/>
          <w:sz w:val="24"/>
          <w:szCs w:val="24"/>
          <w:lang w:val="en-AU" w:eastAsia="en-AU" w:bidi="ar-SA"/>
        </w:rPr>
        <w:t>. Cambridge: Cambridge University Press, 1989.</w:t>
      </w:r>
    </w:p>
    <w:p w14:paraId="3ECBAC73" w14:textId="77777777" w:rsidR="00C16486" w:rsidRPr="00C16486" w:rsidRDefault="00C16486" w:rsidP="00C16486">
      <w:pPr>
        <w:spacing w:before="240" w:after="100" w:line="240" w:lineRule="auto"/>
        <w:ind w:left="720" w:hanging="720"/>
        <w:jc w:val="both"/>
        <w:rPr>
          <w:rFonts w:ascii="Times New Roman" w:eastAsia="Cambria" w:hAnsi="Times New Roman" w:cs="Times New Roman"/>
          <w:sz w:val="24"/>
          <w:szCs w:val="24"/>
          <w:lang w:val="en-AU" w:eastAsia="en-AU" w:bidi="ar-SA"/>
        </w:rPr>
      </w:pPr>
      <w:r w:rsidRPr="00C16486">
        <w:rPr>
          <w:rFonts w:ascii="Times New Roman" w:eastAsia="Cambria" w:hAnsi="Times New Roman" w:cs="Times New Roman"/>
          <w:sz w:val="24"/>
          <w:szCs w:val="24"/>
          <w:lang w:val="en-AU" w:eastAsia="en-AU" w:bidi="ar-SA"/>
        </w:rPr>
        <w:t xml:space="preserve">Friedman, Lawrence M. </w:t>
      </w:r>
      <w:r w:rsidRPr="00C16486">
        <w:rPr>
          <w:rFonts w:ascii="Times New Roman" w:eastAsia="Cambria" w:hAnsi="Times New Roman" w:cs="Times New Roman"/>
          <w:i/>
          <w:iCs/>
          <w:sz w:val="24"/>
          <w:szCs w:val="24"/>
          <w:lang w:val="en-AU" w:eastAsia="en-AU" w:bidi="ar-SA"/>
        </w:rPr>
        <w:t>The Legal System: A Social Science Perspective</w:t>
      </w:r>
      <w:r w:rsidRPr="00C16486">
        <w:rPr>
          <w:rFonts w:ascii="Times New Roman" w:eastAsia="Cambria" w:hAnsi="Times New Roman" w:cs="Times New Roman"/>
          <w:sz w:val="24"/>
          <w:szCs w:val="24"/>
          <w:lang w:val="en-AU" w:eastAsia="en-AU" w:bidi="ar-SA"/>
        </w:rPr>
        <w:t>. New York: Russell Sage Foundation, 1975.</w:t>
      </w:r>
    </w:p>
    <w:p w14:paraId="26A39FC8" w14:textId="77777777" w:rsidR="00C16486" w:rsidRPr="00C16486" w:rsidRDefault="00C16486" w:rsidP="00C16486">
      <w:pPr>
        <w:spacing w:before="240" w:after="100" w:line="240" w:lineRule="auto"/>
        <w:ind w:left="720" w:hanging="720"/>
        <w:jc w:val="both"/>
        <w:rPr>
          <w:rFonts w:ascii="Times New Roman" w:eastAsia="Cambria" w:hAnsi="Times New Roman" w:cs="Times New Roman"/>
          <w:sz w:val="24"/>
          <w:szCs w:val="24"/>
          <w:lang w:val="en-AU" w:eastAsia="en-AU" w:bidi="ar-SA"/>
        </w:rPr>
      </w:pPr>
      <w:proofErr w:type="spellStart"/>
      <w:r w:rsidRPr="00C16486">
        <w:rPr>
          <w:rFonts w:ascii="Times New Roman" w:eastAsia="Cambria" w:hAnsi="Times New Roman" w:cs="Times New Roman"/>
          <w:sz w:val="24"/>
          <w:szCs w:val="24"/>
          <w:lang w:val="en-AU" w:eastAsia="en-AU" w:bidi="ar-SA"/>
        </w:rPr>
        <w:t>Hadjon</w:t>
      </w:r>
      <w:proofErr w:type="spellEnd"/>
      <w:r w:rsidRPr="00C16486">
        <w:rPr>
          <w:rFonts w:ascii="Times New Roman" w:eastAsia="Cambria" w:hAnsi="Times New Roman" w:cs="Times New Roman"/>
          <w:sz w:val="24"/>
          <w:szCs w:val="24"/>
          <w:lang w:val="en-AU" w:eastAsia="en-AU" w:bidi="ar-SA"/>
        </w:rPr>
        <w:t xml:space="preserve">, </w:t>
      </w:r>
      <w:proofErr w:type="spellStart"/>
      <w:r w:rsidRPr="00C16486">
        <w:rPr>
          <w:rFonts w:ascii="Times New Roman" w:eastAsia="Cambria" w:hAnsi="Times New Roman" w:cs="Times New Roman"/>
          <w:sz w:val="24"/>
          <w:szCs w:val="24"/>
          <w:lang w:val="en-AU" w:eastAsia="en-AU" w:bidi="ar-SA"/>
        </w:rPr>
        <w:t>Philipus</w:t>
      </w:r>
      <w:proofErr w:type="spellEnd"/>
      <w:r w:rsidRPr="00C16486">
        <w:rPr>
          <w:rFonts w:ascii="Times New Roman" w:eastAsia="Cambria" w:hAnsi="Times New Roman" w:cs="Times New Roman"/>
          <w:sz w:val="24"/>
          <w:szCs w:val="24"/>
          <w:lang w:val="en-AU" w:eastAsia="en-AU" w:bidi="ar-SA"/>
        </w:rPr>
        <w:t xml:space="preserve"> M. </w:t>
      </w:r>
      <w:proofErr w:type="spellStart"/>
      <w:r w:rsidRPr="00C16486">
        <w:rPr>
          <w:rFonts w:ascii="Times New Roman" w:eastAsia="Cambria" w:hAnsi="Times New Roman" w:cs="Times New Roman"/>
          <w:i/>
          <w:iCs/>
          <w:sz w:val="24"/>
          <w:szCs w:val="24"/>
          <w:lang w:val="en-AU" w:eastAsia="en-AU" w:bidi="ar-SA"/>
        </w:rPr>
        <w:t>Perlindungan</w:t>
      </w:r>
      <w:proofErr w:type="spellEnd"/>
      <w:r w:rsidRPr="00C16486">
        <w:rPr>
          <w:rFonts w:ascii="Times New Roman" w:eastAsia="Cambria" w:hAnsi="Times New Roman" w:cs="Times New Roman"/>
          <w:i/>
          <w:iCs/>
          <w:sz w:val="24"/>
          <w:szCs w:val="24"/>
          <w:lang w:val="en-AU" w:eastAsia="en-AU" w:bidi="ar-SA"/>
        </w:rPr>
        <w:t xml:space="preserve"> Hukum </w:t>
      </w:r>
      <w:proofErr w:type="spellStart"/>
      <w:r w:rsidRPr="00C16486">
        <w:rPr>
          <w:rFonts w:ascii="Times New Roman" w:eastAsia="Cambria" w:hAnsi="Times New Roman" w:cs="Times New Roman"/>
          <w:i/>
          <w:iCs/>
          <w:sz w:val="24"/>
          <w:szCs w:val="24"/>
          <w:lang w:val="en-AU" w:eastAsia="en-AU" w:bidi="ar-SA"/>
        </w:rPr>
        <w:t>bagi</w:t>
      </w:r>
      <w:proofErr w:type="spellEnd"/>
      <w:r w:rsidRPr="00C16486">
        <w:rPr>
          <w:rFonts w:ascii="Times New Roman" w:eastAsia="Cambria" w:hAnsi="Times New Roman" w:cs="Times New Roman"/>
          <w:i/>
          <w:iCs/>
          <w:sz w:val="24"/>
          <w:szCs w:val="24"/>
          <w:lang w:val="en-AU" w:eastAsia="en-AU" w:bidi="ar-SA"/>
        </w:rPr>
        <w:t xml:space="preserve"> Rakyat di Indonesia</w:t>
      </w:r>
      <w:r w:rsidRPr="00C16486">
        <w:rPr>
          <w:rFonts w:ascii="Times New Roman" w:eastAsia="Cambria" w:hAnsi="Times New Roman" w:cs="Times New Roman"/>
          <w:sz w:val="24"/>
          <w:szCs w:val="24"/>
          <w:lang w:val="en-AU" w:eastAsia="en-AU" w:bidi="ar-SA"/>
        </w:rPr>
        <w:t xml:space="preserve">. Surabaya: Bina </w:t>
      </w:r>
      <w:proofErr w:type="spellStart"/>
      <w:r w:rsidRPr="00C16486">
        <w:rPr>
          <w:rFonts w:ascii="Times New Roman" w:eastAsia="Cambria" w:hAnsi="Times New Roman" w:cs="Times New Roman"/>
          <w:sz w:val="24"/>
          <w:szCs w:val="24"/>
          <w:lang w:val="en-AU" w:eastAsia="en-AU" w:bidi="ar-SA"/>
        </w:rPr>
        <w:t>Ilmu</w:t>
      </w:r>
      <w:proofErr w:type="spellEnd"/>
      <w:r w:rsidRPr="00C16486">
        <w:rPr>
          <w:rFonts w:ascii="Times New Roman" w:eastAsia="Cambria" w:hAnsi="Times New Roman" w:cs="Times New Roman"/>
          <w:sz w:val="24"/>
          <w:szCs w:val="24"/>
          <w:lang w:val="en-AU" w:eastAsia="en-AU" w:bidi="ar-SA"/>
        </w:rPr>
        <w:t>, 1987.</w:t>
      </w:r>
    </w:p>
    <w:p w14:paraId="6E3573A0" w14:textId="77777777" w:rsidR="00C16486" w:rsidRPr="00C16486" w:rsidRDefault="00C16486" w:rsidP="00C16486">
      <w:pPr>
        <w:spacing w:before="240" w:after="100" w:line="240" w:lineRule="auto"/>
        <w:ind w:left="720" w:hanging="720"/>
        <w:jc w:val="both"/>
        <w:rPr>
          <w:rFonts w:ascii="Times New Roman" w:eastAsia="Cambria" w:hAnsi="Times New Roman" w:cs="Times New Roman"/>
          <w:sz w:val="24"/>
          <w:szCs w:val="24"/>
          <w:lang w:val="en-AU" w:eastAsia="en-AU" w:bidi="ar-SA"/>
        </w:rPr>
      </w:pPr>
      <w:proofErr w:type="spellStart"/>
      <w:r w:rsidRPr="00C16486">
        <w:rPr>
          <w:rFonts w:ascii="Times New Roman" w:eastAsia="Cambria" w:hAnsi="Times New Roman" w:cs="Times New Roman"/>
          <w:sz w:val="24"/>
          <w:szCs w:val="24"/>
          <w:lang w:val="en-AU" w:eastAsia="en-AU" w:bidi="ar-SA"/>
        </w:rPr>
        <w:t>Hasibuan</w:t>
      </w:r>
      <w:proofErr w:type="spellEnd"/>
      <w:r w:rsidRPr="00C16486">
        <w:rPr>
          <w:rFonts w:ascii="Times New Roman" w:eastAsia="Cambria" w:hAnsi="Times New Roman" w:cs="Times New Roman"/>
          <w:sz w:val="24"/>
          <w:szCs w:val="24"/>
          <w:lang w:val="en-AU" w:eastAsia="en-AU" w:bidi="ar-SA"/>
        </w:rPr>
        <w:t xml:space="preserve">, Otto. </w:t>
      </w:r>
      <w:r w:rsidRPr="00C16486">
        <w:rPr>
          <w:rFonts w:ascii="Times New Roman" w:eastAsia="Cambria" w:hAnsi="Times New Roman" w:cs="Times New Roman"/>
          <w:i/>
          <w:iCs/>
          <w:sz w:val="24"/>
          <w:szCs w:val="24"/>
          <w:lang w:val="en-AU" w:eastAsia="en-AU" w:bidi="ar-SA"/>
        </w:rPr>
        <w:t xml:space="preserve">Hak Cipta di Indonesia: </w:t>
      </w:r>
      <w:proofErr w:type="spellStart"/>
      <w:r w:rsidRPr="00C16486">
        <w:rPr>
          <w:rFonts w:ascii="Times New Roman" w:eastAsia="Cambria" w:hAnsi="Times New Roman" w:cs="Times New Roman"/>
          <w:i/>
          <w:iCs/>
          <w:sz w:val="24"/>
          <w:szCs w:val="24"/>
          <w:lang w:val="en-AU" w:eastAsia="en-AU" w:bidi="ar-SA"/>
        </w:rPr>
        <w:t>Tinjauan</w:t>
      </w:r>
      <w:proofErr w:type="spellEnd"/>
      <w:r w:rsidRPr="00C16486">
        <w:rPr>
          <w:rFonts w:ascii="Times New Roman" w:eastAsia="Cambria" w:hAnsi="Times New Roman" w:cs="Times New Roman"/>
          <w:i/>
          <w:iCs/>
          <w:sz w:val="24"/>
          <w:szCs w:val="24"/>
          <w:lang w:val="en-AU" w:eastAsia="en-AU" w:bidi="ar-SA"/>
        </w:rPr>
        <w:t xml:space="preserve"> </w:t>
      </w:r>
      <w:proofErr w:type="spellStart"/>
      <w:r w:rsidRPr="00C16486">
        <w:rPr>
          <w:rFonts w:ascii="Times New Roman" w:eastAsia="Cambria" w:hAnsi="Times New Roman" w:cs="Times New Roman"/>
          <w:i/>
          <w:iCs/>
          <w:sz w:val="24"/>
          <w:szCs w:val="24"/>
          <w:lang w:val="en-AU" w:eastAsia="en-AU" w:bidi="ar-SA"/>
        </w:rPr>
        <w:t>Khusus</w:t>
      </w:r>
      <w:proofErr w:type="spellEnd"/>
      <w:r w:rsidRPr="00C16486">
        <w:rPr>
          <w:rFonts w:ascii="Times New Roman" w:eastAsia="Cambria" w:hAnsi="Times New Roman" w:cs="Times New Roman"/>
          <w:i/>
          <w:iCs/>
          <w:sz w:val="24"/>
          <w:szCs w:val="24"/>
          <w:lang w:val="en-AU" w:eastAsia="en-AU" w:bidi="ar-SA"/>
        </w:rPr>
        <w:t xml:space="preserve"> Hak Cipta Lagu, Neighbouring Rights, dan Collecting Society</w:t>
      </w:r>
      <w:r w:rsidRPr="00C16486">
        <w:rPr>
          <w:rFonts w:ascii="Times New Roman" w:eastAsia="Cambria" w:hAnsi="Times New Roman" w:cs="Times New Roman"/>
          <w:sz w:val="24"/>
          <w:szCs w:val="24"/>
          <w:lang w:val="en-AU" w:eastAsia="en-AU" w:bidi="ar-SA"/>
        </w:rPr>
        <w:t>. Bandung: Alumni, 2008.</w:t>
      </w:r>
    </w:p>
    <w:p w14:paraId="13A1B544" w14:textId="77777777" w:rsidR="00C16486" w:rsidRPr="00C16486" w:rsidRDefault="00C16486" w:rsidP="00C16486">
      <w:pPr>
        <w:spacing w:before="240" w:after="100" w:line="240" w:lineRule="auto"/>
        <w:ind w:left="720" w:hanging="720"/>
        <w:jc w:val="both"/>
        <w:rPr>
          <w:rFonts w:ascii="Times New Roman" w:eastAsia="Cambria" w:hAnsi="Times New Roman" w:cs="Times New Roman"/>
          <w:sz w:val="24"/>
          <w:szCs w:val="24"/>
          <w:lang w:val="en-AU" w:eastAsia="en-AU" w:bidi="ar-SA"/>
        </w:rPr>
      </w:pPr>
      <w:proofErr w:type="spellStart"/>
      <w:r w:rsidRPr="00C16486">
        <w:rPr>
          <w:rFonts w:ascii="Times New Roman" w:eastAsia="Cambria" w:hAnsi="Times New Roman" w:cs="Times New Roman"/>
          <w:sz w:val="24"/>
          <w:szCs w:val="24"/>
          <w:lang w:val="en-AU" w:eastAsia="en-AU" w:bidi="ar-SA"/>
        </w:rPr>
        <w:t>Jened</w:t>
      </w:r>
      <w:proofErr w:type="spellEnd"/>
      <w:r w:rsidRPr="00C16486">
        <w:rPr>
          <w:rFonts w:ascii="Times New Roman" w:eastAsia="Cambria" w:hAnsi="Times New Roman" w:cs="Times New Roman"/>
          <w:sz w:val="24"/>
          <w:szCs w:val="24"/>
          <w:lang w:val="en-AU" w:eastAsia="en-AU" w:bidi="ar-SA"/>
        </w:rPr>
        <w:t xml:space="preserve">, Rahmi. </w:t>
      </w:r>
      <w:r w:rsidRPr="00C16486">
        <w:rPr>
          <w:rFonts w:ascii="Times New Roman" w:eastAsia="Cambria" w:hAnsi="Times New Roman" w:cs="Times New Roman"/>
          <w:i/>
          <w:iCs/>
          <w:sz w:val="24"/>
          <w:szCs w:val="24"/>
          <w:lang w:val="en-AU" w:eastAsia="en-AU" w:bidi="ar-SA"/>
        </w:rPr>
        <w:t>Hukum Hak Cipta (Copyright Law)</w:t>
      </w:r>
      <w:r w:rsidRPr="00C16486">
        <w:rPr>
          <w:rFonts w:ascii="Times New Roman" w:eastAsia="Cambria" w:hAnsi="Times New Roman" w:cs="Times New Roman"/>
          <w:sz w:val="24"/>
          <w:szCs w:val="24"/>
          <w:lang w:val="en-AU" w:eastAsia="en-AU" w:bidi="ar-SA"/>
        </w:rPr>
        <w:t>. Bandung: Citra Aditya Bakti, 2014.</w:t>
      </w:r>
    </w:p>
    <w:p w14:paraId="3DB3BA29" w14:textId="77777777" w:rsidR="00C16486" w:rsidRPr="00C16486" w:rsidRDefault="00C16486" w:rsidP="00C16486">
      <w:pPr>
        <w:spacing w:before="240" w:after="100" w:line="240" w:lineRule="auto"/>
        <w:ind w:left="720" w:hanging="720"/>
        <w:jc w:val="both"/>
        <w:rPr>
          <w:rFonts w:ascii="Times New Roman" w:eastAsia="Cambria" w:hAnsi="Times New Roman" w:cs="Times New Roman"/>
          <w:sz w:val="24"/>
          <w:szCs w:val="24"/>
          <w:lang w:val="fi-FI" w:eastAsia="en-AU" w:bidi="ar-SA"/>
        </w:rPr>
      </w:pPr>
      <w:r w:rsidRPr="00C16486">
        <w:rPr>
          <w:rFonts w:ascii="Times New Roman" w:eastAsia="Cambria" w:hAnsi="Times New Roman" w:cs="Times New Roman"/>
          <w:sz w:val="24"/>
          <w:szCs w:val="24"/>
          <w:lang w:val="en-AU" w:eastAsia="en-AU" w:bidi="ar-SA"/>
        </w:rPr>
        <w:t xml:space="preserve">Marzuki, Peter Mahmud. </w:t>
      </w:r>
      <w:proofErr w:type="spellStart"/>
      <w:r w:rsidRPr="00C16486">
        <w:rPr>
          <w:rFonts w:ascii="Times New Roman" w:eastAsia="Cambria" w:hAnsi="Times New Roman" w:cs="Times New Roman"/>
          <w:i/>
          <w:iCs/>
          <w:sz w:val="24"/>
          <w:szCs w:val="24"/>
          <w:lang w:val="en-AU" w:eastAsia="en-AU" w:bidi="ar-SA"/>
        </w:rPr>
        <w:t>Penelitian</w:t>
      </w:r>
      <w:proofErr w:type="spellEnd"/>
      <w:r w:rsidRPr="00C16486">
        <w:rPr>
          <w:rFonts w:ascii="Times New Roman" w:eastAsia="Cambria" w:hAnsi="Times New Roman" w:cs="Times New Roman"/>
          <w:i/>
          <w:iCs/>
          <w:sz w:val="24"/>
          <w:szCs w:val="24"/>
          <w:lang w:val="en-AU" w:eastAsia="en-AU" w:bidi="ar-SA"/>
        </w:rPr>
        <w:t xml:space="preserve"> Hukum</w:t>
      </w:r>
      <w:r w:rsidRPr="00C16486">
        <w:rPr>
          <w:rFonts w:ascii="Times New Roman" w:eastAsia="Cambria" w:hAnsi="Times New Roman" w:cs="Times New Roman"/>
          <w:sz w:val="24"/>
          <w:szCs w:val="24"/>
          <w:lang w:val="en-AU" w:eastAsia="en-AU" w:bidi="ar-SA"/>
        </w:rPr>
        <w:t xml:space="preserve">. Rev. ed. </w:t>
      </w:r>
      <w:r w:rsidRPr="00C16486">
        <w:rPr>
          <w:rFonts w:ascii="Times New Roman" w:eastAsia="Cambria" w:hAnsi="Times New Roman" w:cs="Times New Roman"/>
          <w:sz w:val="24"/>
          <w:szCs w:val="24"/>
          <w:lang w:val="fi-FI" w:eastAsia="en-AU" w:bidi="ar-SA"/>
        </w:rPr>
        <w:t xml:space="preserve">Jakarta: </w:t>
      </w:r>
      <w:proofErr w:type="spellStart"/>
      <w:r w:rsidRPr="00C16486">
        <w:rPr>
          <w:rFonts w:ascii="Times New Roman" w:eastAsia="Cambria" w:hAnsi="Times New Roman" w:cs="Times New Roman"/>
          <w:sz w:val="24"/>
          <w:szCs w:val="24"/>
          <w:lang w:val="fi-FI" w:eastAsia="en-AU" w:bidi="ar-SA"/>
        </w:rPr>
        <w:t>Kencana</w:t>
      </w:r>
      <w:proofErr w:type="spellEnd"/>
      <w:r w:rsidRPr="00C16486">
        <w:rPr>
          <w:rFonts w:ascii="Times New Roman" w:eastAsia="Cambria" w:hAnsi="Times New Roman" w:cs="Times New Roman"/>
          <w:sz w:val="24"/>
          <w:szCs w:val="24"/>
          <w:lang w:val="fi-FI" w:eastAsia="en-AU" w:bidi="ar-SA"/>
        </w:rPr>
        <w:t>, 2021.</w:t>
      </w:r>
    </w:p>
    <w:p w14:paraId="32F9832C" w14:textId="77777777" w:rsidR="00C16486" w:rsidRPr="00C16486" w:rsidRDefault="00C16486" w:rsidP="00C16486">
      <w:pPr>
        <w:spacing w:before="240" w:after="100" w:line="240" w:lineRule="auto"/>
        <w:ind w:left="720" w:hanging="720"/>
        <w:jc w:val="both"/>
        <w:rPr>
          <w:rFonts w:ascii="Times New Roman" w:eastAsia="Cambria" w:hAnsi="Times New Roman" w:cs="Times New Roman"/>
          <w:sz w:val="24"/>
          <w:szCs w:val="24"/>
          <w:lang w:val="fi-FI" w:eastAsia="en-AU" w:bidi="ar-SA"/>
        </w:rPr>
      </w:pPr>
      <w:proofErr w:type="spellStart"/>
      <w:r w:rsidRPr="00C16486">
        <w:rPr>
          <w:rFonts w:ascii="Times New Roman" w:eastAsia="Cambria" w:hAnsi="Times New Roman" w:cs="Times New Roman"/>
          <w:sz w:val="24"/>
          <w:szCs w:val="24"/>
          <w:lang w:val="fi-FI" w:eastAsia="en-AU" w:bidi="ar-SA"/>
        </w:rPr>
        <w:t>Rahardjo</w:t>
      </w:r>
      <w:proofErr w:type="spellEnd"/>
      <w:r w:rsidRPr="00C16486">
        <w:rPr>
          <w:rFonts w:ascii="Times New Roman" w:eastAsia="Cambria" w:hAnsi="Times New Roman" w:cs="Times New Roman"/>
          <w:sz w:val="24"/>
          <w:szCs w:val="24"/>
          <w:lang w:val="fi-FI" w:eastAsia="en-AU" w:bidi="ar-SA"/>
        </w:rPr>
        <w:t xml:space="preserve">, </w:t>
      </w:r>
      <w:proofErr w:type="spellStart"/>
      <w:r w:rsidRPr="00C16486">
        <w:rPr>
          <w:rFonts w:ascii="Times New Roman" w:eastAsia="Cambria" w:hAnsi="Times New Roman" w:cs="Times New Roman"/>
          <w:sz w:val="24"/>
          <w:szCs w:val="24"/>
          <w:lang w:val="fi-FI" w:eastAsia="en-AU" w:bidi="ar-SA"/>
        </w:rPr>
        <w:t>Satjipto</w:t>
      </w:r>
      <w:proofErr w:type="spellEnd"/>
      <w:r w:rsidRPr="00C16486">
        <w:rPr>
          <w:rFonts w:ascii="Times New Roman" w:eastAsia="Cambria" w:hAnsi="Times New Roman" w:cs="Times New Roman"/>
          <w:sz w:val="24"/>
          <w:szCs w:val="24"/>
          <w:lang w:val="fi-FI" w:eastAsia="en-AU" w:bidi="ar-SA"/>
        </w:rPr>
        <w:t xml:space="preserve">. </w:t>
      </w:r>
      <w:proofErr w:type="spellStart"/>
      <w:r w:rsidRPr="00C16486">
        <w:rPr>
          <w:rFonts w:ascii="Times New Roman" w:eastAsia="Cambria" w:hAnsi="Times New Roman" w:cs="Times New Roman"/>
          <w:i/>
          <w:iCs/>
          <w:sz w:val="24"/>
          <w:szCs w:val="24"/>
          <w:lang w:val="fi-FI" w:eastAsia="en-AU" w:bidi="ar-SA"/>
        </w:rPr>
        <w:t>Masalah</w:t>
      </w:r>
      <w:proofErr w:type="spellEnd"/>
      <w:r w:rsidRPr="00C16486">
        <w:rPr>
          <w:rFonts w:ascii="Times New Roman" w:eastAsia="Cambria" w:hAnsi="Times New Roman" w:cs="Times New Roman"/>
          <w:i/>
          <w:iCs/>
          <w:sz w:val="24"/>
          <w:szCs w:val="24"/>
          <w:lang w:val="fi-FI" w:eastAsia="en-AU" w:bidi="ar-SA"/>
        </w:rPr>
        <w:t xml:space="preserve"> </w:t>
      </w:r>
      <w:proofErr w:type="spellStart"/>
      <w:r w:rsidRPr="00C16486">
        <w:rPr>
          <w:rFonts w:ascii="Times New Roman" w:eastAsia="Cambria" w:hAnsi="Times New Roman" w:cs="Times New Roman"/>
          <w:i/>
          <w:iCs/>
          <w:sz w:val="24"/>
          <w:szCs w:val="24"/>
          <w:lang w:val="fi-FI" w:eastAsia="en-AU" w:bidi="ar-SA"/>
        </w:rPr>
        <w:t>Penegakan</w:t>
      </w:r>
      <w:proofErr w:type="spellEnd"/>
      <w:r w:rsidRPr="00C16486">
        <w:rPr>
          <w:rFonts w:ascii="Times New Roman" w:eastAsia="Cambria" w:hAnsi="Times New Roman" w:cs="Times New Roman"/>
          <w:i/>
          <w:iCs/>
          <w:sz w:val="24"/>
          <w:szCs w:val="24"/>
          <w:lang w:val="fi-FI" w:eastAsia="en-AU" w:bidi="ar-SA"/>
        </w:rPr>
        <w:t xml:space="preserve"> </w:t>
      </w:r>
      <w:proofErr w:type="spellStart"/>
      <w:r w:rsidRPr="00C16486">
        <w:rPr>
          <w:rFonts w:ascii="Times New Roman" w:eastAsia="Cambria" w:hAnsi="Times New Roman" w:cs="Times New Roman"/>
          <w:i/>
          <w:iCs/>
          <w:sz w:val="24"/>
          <w:szCs w:val="24"/>
          <w:lang w:val="fi-FI" w:eastAsia="en-AU" w:bidi="ar-SA"/>
        </w:rPr>
        <w:t>Hukum</w:t>
      </w:r>
      <w:proofErr w:type="spellEnd"/>
      <w:r w:rsidRPr="00C16486">
        <w:rPr>
          <w:rFonts w:ascii="Times New Roman" w:eastAsia="Cambria" w:hAnsi="Times New Roman" w:cs="Times New Roman"/>
          <w:i/>
          <w:iCs/>
          <w:sz w:val="24"/>
          <w:szCs w:val="24"/>
          <w:lang w:val="fi-FI" w:eastAsia="en-AU" w:bidi="ar-SA"/>
        </w:rPr>
        <w:t xml:space="preserve">: </w:t>
      </w:r>
      <w:proofErr w:type="spellStart"/>
      <w:r w:rsidRPr="00C16486">
        <w:rPr>
          <w:rFonts w:ascii="Times New Roman" w:eastAsia="Cambria" w:hAnsi="Times New Roman" w:cs="Times New Roman"/>
          <w:i/>
          <w:iCs/>
          <w:sz w:val="24"/>
          <w:szCs w:val="24"/>
          <w:lang w:val="fi-FI" w:eastAsia="en-AU" w:bidi="ar-SA"/>
        </w:rPr>
        <w:t>Suatu</w:t>
      </w:r>
      <w:proofErr w:type="spellEnd"/>
      <w:r w:rsidRPr="00C16486">
        <w:rPr>
          <w:rFonts w:ascii="Times New Roman" w:eastAsia="Cambria" w:hAnsi="Times New Roman" w:cs="Times New Roman"/>
          <w:i/>
          <w:iCs/>
          <w:sz w:val="24"/>
          <w:szCs w:val="24"/>
          <w:lang w:val="fi-FI" w:eastAsia="en-AU" w:bidi="ar-SA"/>
        </w:rPr>
        <w:t xml:space="preserve"> </w:t>
      </w:r>
      <w:proofErr w:type="spellStart"/>
      <w:r w:rsidRPr="00C16486">
        <w:rPr>
          <w:rFonts w:ascii="Times New Roman" w:eastAsia="Cambria" w:hAnsi="Times New Roman" w:cs="Times New Roman"/>
          <w:i/>
          <w:iCs/>
          <w:sz w:val="24"/>
          <w:szCs w:val="24"/>
          <w:lang w:val="fi-FI" w:eastAsia="en-AU" w:bidi="ar-SA"/>
        </w:rPr>
        <w:t>Tinjauan</w:t>
      </w:r>
      <w:proofErr w:type="spellEnd"/>
      <w:r w:rsidRPr="00C16486">
        <w:rPr>
          <w:rFonts w:ascii="Times New Roman" w:eastAsia="Cambria" w:hAnsi="Times New Roman" w:cs="Times New Roman"/>
          <w:i/>
          <w:iCs/>
          <w:sz w:val="24"/>
          <w:szCs w:val="24"/>
          <w:lang w:val="fi-FI" w:eastAsia="en-AU" w:bidi="ar-SA"/>
        </w:rPr>
        <w:t xml:space="preserve"> </w:t>
      </w:r>
      <w:proofErr w:type="spellStart"/>
      <w:r w:rsidRPr="00C16486">
        <w:rPr>
          <w:rFonts w:ascii="Times New Roman" w:eastAsia="Cambria" w:hAnsi="Times New Roman" w:cs="Times New Roman"/>
          <w:i/>
          <w:iCs/>
          <w:sz w:val="24"/>
          <w:szCs w:val="24"/>
          <w:lang w:val="fi-FI" w:eastAsia="en-AU" w:bidi="ar-SA"/>
        </w:rPr>
        <w:t>Sosiologis</w:t>
      </w:r>
      <w:proofErr w:type="spellEnd"/>
      <w:r w:rsidRPr="00C16486">
        <w:rPr>
          <w:rFonts w:ascii="Times New Roman" w:eastAsia="Cambria" w:hAnsi="Times New Roman" w:cs="Times New Roman"/>
          <w:sz w:val="24"/>
          <w:szCs w:val="24"/>
          <w:lang w:val="fi-FI" w:eastAsia="en-AU" w:bidi="ar-SA"/>
        </w:rPr>
        <w:t xml:space="preserve">. Bandung: </w:t>
      </w:r>
      <w:proofErr w:type="spellStart"/>
      <w:r w:rsidRPr="00C16486">
        <w:rPr>
          <w:rFonts w:ascii="Times New Roman" w:eastAsia="Cambria" w:hAnsi="Times New Roman" w:cs="Times New Roman"/>
          <w:sz w:val="24"/>
          <w:szCs w:val="24"/>
          <w:lang w:val="fi-FI" w:eastAsia="en-AU" w:bidi="ar-SA"/>
        </w:rPr>
        <w:t>Sinar</w:t>
      </w:r>
      <w:proofErr w:type="spellEnd"/>
      <w:r w:rsidRPr="00C16486">
        <w:rPr>
          <w:rFonts w:ascii="Times New Roman" w:eastAsia="Cambria" w:hAnsi="Times New Roman" w:cs="Times New Roman"/>
          <w:sz w:val="24"/>
          <w:szCs w:val="24"/>
          <w:lang w:val="fi-FI" w:eastAsia="en-AU" w:bidi="ar-SA"/>
        </w:rPr>
        <w:t xml:space="preserve"> Baru, 1983.</w:t>
      </w:r>
    </w:p>
    <w:p w14:paraId="292A0561" w14:textId="77777777" w:rsidR="00C16486" w:rsidRPr="00C16486" w:rsidRDefault="00C16486" w:rsidP="00C16486">
      <w:pPr>
        <w:spacing w:before="240" w:after="100" w:line="240" w:lineRule="auto"/>
        <w:ind w:left="720" w:hanging="720"/>
        <w:jc w:val="both"/>
        <w:rPr>
          <w:rFonts w:ascii="Times New Roman" w:eastAsia="Cambria" w:hAnsi="Times New Roman" w:cs="Times New Roman"/>
          <w:sz w:val="24"/>
          <w:szCs w:val="24"/>
          <w:lang w:val="fi-FI" w:eastAsia="en-AU" w:bidi="ar-SA"/>
        </w:rPr>
      </w:pPr>
      <w:proofErr w:type="spellStart"/>
      <w:r w:rsidRPr="00C16486">
        <w:rPr>
          <w:rFonts w:ascii="Times New Roman" w:eastAsia="Cambria" w:hAnsi="Times New Roman" w:cs="Times New Roman"/>
          <w:sz w:val="24"/>
          <w:szCs w:val="24"/>
          <w:lang w:val="fi-FI" w:eastAsia="en-AU" w:bidi="ar-SA"/>
        </w:rPr>
        <w:t>Soekanto</w:t>
      </w:r>
      <w:proofErr w:type="spellEnd"/>
      <w:r w:rsidRPr="00C16486">
        <w:rPr>
          <w:rFonts w:ascii="Times New Roman" w:eastAsia="Cambria" w:hAnsi="Times New Roman" w:cs="Times New Roman"/>
          <w:sz w:val="24"/>
          <w:szCs w:val="24"/>
          <w:lang w:val="fi-FI" w:eastAsia="en-AU" w:bidi="ar-SA"/>
        </w:rPr>
        <w:t xml:space="preserve">, </w:t>
      </w:r>
      <w:proofErr w:type="spellStart"/>
      <w:r w:rsidRPr="00C16486">
        <w:rPr>
          <w:rFonts w:ascii="Times New Roman" w:eastAsia="Cambria" w:hAnsi="Times New Roman" w:cs="Times New Roman"/>
          <w:sz w:val="24"/>
          <w:szCs w:val="24"/>
          <w:lang w:val="fi-FI" w:eastAsia="en-AU" w:bidi="ar-SA"/>
        </w:rPr>
        <w:t>Soerjono</w:t>
      </w:r>
      <w:proofErr w:type="spellEnd"/>
      <w:r w:rsidRPr="00C16486">
        <w:rPr>
          <w:rFonts w:ascii="Times New Roman" w:eastAsia="Cambria" w:hAnsi="Times New Roman" w:cs="Times New Roman"/>
          <w:sz w:val="24"/>
          <w:szCs w:val="24"/>
          <w:lang w:val="fi-FI" w:eastAsia="en-AU" w:bidi="ar-SA"/>
        </w:rPr>
        <w:t xml:space="preserve">. </w:t>
      </w:r>
      <w:proofErr w:type="spellStart"/>
      <w:r w:rsidRPr="00C16486">
        <w:rPr>
          <w:rFonts w:ascii="Times New Roman" w:eastAsia="Cambria" w:hAnsi="Times New Roman" w:cs="Times New Roman"/>
          <w:i/>
          <w:iCs/>
          <w:sz w:val="24"/>
          <w:szCs w:val="24"/>
          <w:lang w:val="fi-FI" w:eastAsia="en-AU" w:bidi="ar-SA"/>
        </w:rPr>
        <w:t>Faktor-Faktor</w:t>
      </w:r>
      <w:proofErr w:type="spellEnd"/>
      <w:r w:rsidRPr="00C16486">
        <w:rPr>
          <w:rFonts w:ascii="Times New Roman" w:eastAsia="Cambria" w:hAnsi="Times New Roman" w:cs="Times New Roman"/>
          <w:i/>
          <w:iCs/>
          <w:sz w:val="24"/>
          <w:szCs w:val="24"/>
          <w:lang w:val="fi-FI" w:eastAsia="en-AU" w:bidi="ar-SA"/>
        </w:rPr>
        <w:t xml:space="preserve"> </w:t>
      </w:r>
      <w:proofErr w:type="spellStart"/>
      <w:r w:rsidRPr="00C16486">
        <w:rPr>
          <w:rFonts w:ascii="Times New Roman" w:eastAsia="Cambria" w:hAnsi="Times New Roman" w:cs="Times New Roman"/>
          <w:i/>
          <w:iCs/>
          <w:sz w:val="24"/>
          <w:szCs w:val="24"/>
          <w:lang w:val="fi-FI" w:eastAsia="en-AU" w:bidi="ar-SA"/>
        </w:rPr>
        <w:t>yang</w:t>
      </w:r>
      <w:proofErr w:type="spellEnd"/>
      <w:r w:rsidRPr="00C16486">
        <w:rPr>
          <w:rFonts w:ascii="Times New Roman" w:eastAsia="Cambria" w:hAnsi="Times New Roman" w:cs="Times New Roman"/>
          <w:i/>
          <w:iCs/>
          <w:sz w:val="24"/>
          <w:szCs w:val="24"/>
          <w:lang w:val="fi-FI" w:eastAsia="en-AU" w:bidi="ar-SA"/>
        </w:rPr>
        <w:t xml:space="preserve"> </w:t>
      </w:r>
      <w:proofErr w:type="spellStart"/>
      <w:r w:rsidRPr="00C16486">
        <w:rPr>
          <w:rFonts w:ascii="Times New Roman" w:eastAsia="Cambria" w:hAnsi="Times New Roman" w:cs="Times New Roman"/>
          <w:i/>
          <w:iCs/>
          <w:sz w:val="24"/>
          <w:szCs w:val="24"/>
          <w:lang w:val="fi-FI" w:eastAsia="en-AU" w:bidi="ar-SA"/>
        </w:rPr>
        <w:t>Mempengaruhi</w:t>
      </w:r>
      <w:proofErr w:type="spellEnd"/>
      <w:r w:rsidRPr="00C16486">
        <w:rPr>
          <w:rFonts w:ascii="Times New Roman" w:eastAsia="Cambria" w:hAnsi="Times New Roman" w:cs="Times New Roman"/>
          <w:i/>
          <w:iCs/>
          <w:sz w:val="24"/>
          <w:szCs w:val="24"/>
          <w:lang w:val="fi-FI" w:eastAsia="en-AU" w:bidi="ar-SA"/>
        </w:rPr>
        <w:t xml:space="preserve"> </w:t>
      </w:r>
      <w:proofErr w:type="spellStart"/>
      <w:r w:rsidRPr="00C16486">
        <w:rPr>
          <w:rFonts w:ascii="Times New Roman" w:eastAsia="Cambria" w:hAnsi="Times New Roman" w:cs="Times New Roman"/>
          <w:i/>
          <w:iCs/>
          <w:sz w:val="24"/>
          <w:szCs w:val="24"/>
          <w:lang w:val="fi-FI" w:eastAsia="en-AU" w:bidi="ar-SA"/>
        </w:rPr>
        <w:t>Penegakan</w:t>
      </w:r>
      <w:proofErr w:type="spellEnd"/>
      <w:r w:rsidRPr="00C16486">
        <w:rPr>
          <w:rFonts w:ascii="Times New Roman" w:eastAsia="Cambria" w:hAnsi="Times New Roman" w:cs="Times New Roman"/>
          <w:i/>
          <w:iCs/>
          <w:sz w:val="24"/>
          <w:szCs w:val="24"/>
          <w:lang w:val="fi-FI" w:eastAsia="en-AU" w:bidi="ar-SA"/>
        </w:rPr>
        <w:t xml:space="preserve"> </w:t>
      </w:r>
      <w:proofErr w:type="spellStart"/>
      <w:r w:rsidRPr="00C16486">
        <w:rPr>
          <w:rFonts w:ascii="Times New Roman" w:eastAsia="Cambria" w:hAnsi="Times New Roman" w:cs="Times New Roman"/>
          <w:i/>
          <w:iCs/>
          <w:sz w:val="24"/>
          <w:szCs w:val="24"/>
          <w:lang w:val="fi-FI" w:eastAsia="en-AU" w:bidi="ar-SA"/>
        </w:rPr>
        <w:t>Hukum</w:t>
      </w:r>
      <w:proofErr w:type="spellEnd"/>
      <w:r w:rsidRPr="00C16486">
        <w:rPr>
          <w:rFonts w:ascii="Times New Roman" w:eastAsia="Cambria" w:hAnsi="Times New Roman" w:cs="Times New Roman"/>
          <w:sz w:val="24"/>
          <w:szCs w:val="24"/>
          <w:lang w:val="fi-FI" w:eastAsia="en-AU" w:bidi="ar-SA"/>
        </w:rPr>
        <w:t xml:space="preserve">. Jakarta: </w:t>
      </w:r>
      <w:proofErr w:type="spellStart"/>
      <w:r w:rsidRPr="00C16486">
        <w:rPr>
          <w:rFonts w:ascii="Times New Roman" w:eastAsia="Cambria" w:hAnsi="Times New Roman" w:cs="Times New Roman"/>
          <w:sz w:val="24"/>
          <w:szCs w:val="24"/>
          <w:lang w:val="fi-FI" w:eastAsia="en-AU" w:bidi="ar-SA"/>
        </w:rPr>
        <w:t>Rajawali</w:t>
      </w:r>
      <w:proofErr w:type="spellEnd"/>
      <w:r w:rsidRPr="00C16486">
        <w:rPr>
          <w:rFonts w:ascii="Times New Roman" w:eastAsia="Cambria" w:hAnsi="Times New Roman" w:cs="Times New Roman"/>
          <w:sz w:val="24"/>
          <w:szCs w:val="24"/>
          <w:lang w:val="fi-FI" w:eastAsia="en-AU" w:bidi="ar-SA"/>
        </w:rPr>
        <w:t xml:space="preserve"> </w:t>
      </w:r>
      <w:proofErr w:type="spellStart"/>
      <w:r w:rsidRPr="00C16486">
        <w:rPr>
          <w:rFonts w:ascii="Times New Roman" w:eastAsia="Cambria" w:hAnsi="Times New Roman" w:cs="Times New Roman"/>
          <w:sz w:val="24"/>
          <w:szCs w:val="24"/>
          <w:lang w:val="fi-FI" w:eastAsia="en-AU" w:bidi="ar-SA"/>
        </w:rPr>
        <w:t>Pers</w:t>
      </w:r>
      <w:proofErr w:type="spellEnd"/>
      <w:r w:rsidRPr="00C16486">
        <w:rPr>
          <w:rFonts w:ascii="Times New Roman" w:eastAsia="Cambria" w:hAnsi="Times New Roman" w:cs="Times New Roman"/>
          <w:sz w:val="24"/>
          <w:szCs w:val="24"/>
          <w:lang w:val="fi-FI" w:eastAsia="en-AU" w:bidi="ar-SA"/>
        </w:rPr>
        <w:t>, 2014.</w:t>
      </w:r>
    </w:p>
    <w:p w14:paraId="4C1D1E46" w14:textId="77777777" w:rsidR="00C16486" w:rsidRPr="00C16486" w:rsidRDefault="00C16486" w:rsidP="00C16486">
      <w:pPr>
        <w:spacing w:before="240" w:after="100" w:line="240" w:lineRule="auto"/>
        <w:ind w:left="720" w:hanging="720"/>
        <w:jc w:val="both"/>
        <w:rPr>
          <w:rFonts w:ascii="Times New Roman" w:eastAsia="Cambria" w:hAnsi="Times New Roman" w:cs="Times New Roman"/>
          <w:sz w:val="24"/>
          <w:szCs w:val="24"/>
          <w:lang w:val="en-AU" w:eastAsia="en-AU" w:bidi="ar-SA"/>
        </w:rPr>
      </w:pPr>
      <w:proofErr w:type="spellStart"/>
      <w:r w:rsidRPr="00C16486">
        <w:rPr>
          <w:rFonts w:ascii="Times New Roman" w:eastAsia="Cambria" w:hAnsi="Times New Roman" w:cs="Times New Roman"/>
          <w:sz w:val="24"/>
          <w:szCs w:val="24"/>
          <w:lang w:val="fi-FI" w:eastAsia="en-AU" w:bidi="ar-SA"/>
        </w:rPr>
        <w:t>Soekanto</w:t>
      </w:r>
      <w:proofErr w:type="spellEnd"/>
      <w:r w:rsidRPr="00C16486">
        <w:rPr>
          <w:rFonts w:ascii="Times New Roman" w:eastAsia="Cambria" w:hAnsi="Times New Roman" w:cs="Times New Roman"/>
          <w:sz w:val="24"/>
          <w:szCs w:val="24"/>
          <w:lang w:val="fi-FI" w:eastAsia="en-AU" w:bidi="ar-SA"/>
        </w:rPr>
        <w:t xml:space="preserve">, </w:t>
      </w:r>
      <w:proofErr w:type="spellStart"/>
      <w:r w:rsidRPr="00C16486">
        <w:rPr>
          <w:rFonts w:ascii="Times New Roman" w:eastAsia="Cambria" w:hAnsi="Times New Roman" w:cs="Times New Roman"/>
          <w:sz w:val="24"/>
          <w:szCs w:val="24"/>
          <w:lang w:val="fi-FI" w:eastAsia="en-AU" w:bidi="ar-SA"/>
        </w:rPr>
        <w:t>Soerjono</w:t>
      </w:r>
      <w:proofErr w:type="spellEnd"/>
      <w:r w:rsidRPr="00C16486">
        <w:rPr>
          <w:rFonts w:ascii="Times New Roman" w:eastAsia="Cambria" w:hAnsi="Times New Roman" w:cs="Times New Roman"/>
          <w:sz w:val="24"/>
          <w:szCs w:val="24"/>
          <w:lang w:val="fi-FI" w:eastAsia="en-AU" w:bidi="ar-SA"/>
        </w:rPr>
        <w:t xml:space="preserve">, and Sri </w:t>
      </w:r>
      <w:proofErr w:type="spellStart"/>
      <w:r w:rsidRPr="00C16486">
        <w:rPr>
          <w:rFonts w:ascii="Times New Roman" w:eastAsia="Cambria" w:hAnsi="Times New Roman" w:cs="Times New Roman"/>
          <w:sz w:val="24"/>
          <w:szCs w:val="24"/>
          <w:lang w:val="fi-FI" w:eastAsia="en-AU" w:bidi="ar-SA"/>
        </w:rPr>
        <w:t>Mamudji</w:t>
      </w:r>
      <w:proofErr w:type="spellEnd"/>
      <w:r w:rsidRPr="00C16486">
        <w:rPr>
          <w:rFonts w:ascii="Times New Roman" w:eastAsia="Cambria" w:hAnsi="Times New Roman" w:cs="Times New Roman"/>
          <w:sz w:val="24"/>
          <w:szCs w:val="24"/>
          <w:lang w:val="fi-FI" w:eastAsia="en-AU" w:bidi="ar-SA"/>
        </w:rPr>
        <w:t xml:space="preserve">. </w:t>
      </w:r>
      <w:proofErr w:type="spellStart"/>
      <w:r w:rsidRPr="00C16486">
        <w:rPr>
          <w:rFonts w:ascii="Times New Roman" w:eastAsia="Cambria" w:hAnsi="Times New Roman" w:cs="Times New Roman"/>
          <w:i/>
          <w:iCs/>
          <w:sz w:val="24"/>
          <w:szCs w:val="24"/>
          <w:lang w:val="fi-FI" w:eastAsia="en-AU" w:bidi="ar-SA"/>
        </w:rPr>
        <w:t>Penelitian</w:t>
      </w:r>
      <w:proofErr w:type="spellEnd"/>
      <w:r w:rsidRPr="00C16486">
        <w:rPr>
          <w:rFonts w:ascii="Times New Roman" w:eastAsia="Cambria" w:hAnsi="Times New Roman" w:cs="Times New Roman"/>
          <w:i/>
          <w:iCs/>
          <w:sz w:val="24"/>
          <w:szCs w:val="24"/>
          <w:lang w:val="fi-FI" w:eastAsia="en-AU" w:bidi="ar-SA"/>
        </w:rPr>
        <w:t xml:space="preserve"> </w:t>
      </w:r>
      <w:proofErr w:type="spellStart"/>
      <w:r w:rsidRPr="00C16486">
        <w:rPr>
          <w:rFonts w:ascii="Times New Roman" w:eastAsia="Cambria" w:hAnsi="Times New Roman" w:cs="Times New Roman"/>
          <w:i/>
          <w:iCs/>
          <w:sz w:val="24"/>
          <w:szCs w:val="24"/>
          <w:lang w:val="fi-FI" w:eastAsia="en-AU" w:bidi="ar-SA"/>
        </w:rPr>
        <w:t>Hukum</w:t>
      </w:r>
      <w:proofErr w:type="spellEnd"/>
      <w:r w:rsidRPr="00C16486">
        <w:rPr>
          <w:rFonts w:ascii="Times New Roman" w:eastAsia="Cambria" w:hAnsi="Times New Roman" w:cs="Times New Roman"/>
          <w:i/>
          <w:iCs/>
          <w:sz w:val="24"/>
          <w:szCs w:val="24"/>
          <w:lang w:val="fi-FI" w:eastAsia="en-AU" w:bidi="ar-SA"/>
        </w:rPr>
        <w:t xml:space="preserve"> </w:t>
      </w:r>
      <w:proofErr w:type="spellStart"/>
      <w:r w:rsidRPr="00C16486">
        <w:rPr>
          <w:rFonts w:ascii="Times New Roman" w:eastAsia="Cambria" w:hAnsi="Times New Roman" w:cs="Times New Roman"/>
          <w:i/>
          <w:iCs/>
          <w:sz w:val="24"/>
          <w:szCs w:val="24"/>
          <w:lang w:val="fi-FI" w:eastAsia="en-AU" w:bidi="ar-SA"/>
        </w:rPr>
        <w:t>Normatif</w:t>
      </w:r>
      <w:proofErr w:type="spellEnd"/>
      <w:r w:rsidRPr="00C16486">
        <w:rPr>
          <w:rFonts w:ascii="Times New Roman" w:eastAsia="Cambria" w:hAnsi="Times New Roman" w:cs="Times New Roman"/>
          <w:i/>
          <w:iCs/>
          <w:sz w:val="24"/>
          <w:szCs w:val="24"/>
          <w:lang w:val="fi-FI" w:eastAsia="en-AU" w:bidi="ar-SA"/>
        </w:rPr>
        <w:t xml:space="preserve">: </w:t>
      </w:r>
      <w:proofErr w:type="spellStart"/>
      <w:r w:rsidRPr="00C16486">
        <w:rPr>
          <w:rFonts w:ascii="Times New Roman" w:eastAsia="Cambria" w:hAnsi="Times New Roman" w:cs="Times New Roman"/>
          <w:i/>
          <w:iCs/>
          <w:sz w:val="24"/>
          <w:szCs w:val="24"/>
          <w:lang w:val="fi-FI" w:eastAsia="en-AU" w:bidi="ar-SA"/>
        </w:rPr>
        <w:t>Suatu</w:t>
      </w:r>
      <w:proofErr w:type="spellEnd"/>
      <w:r w:rsidRPr="00C16486">
        <w:rPr>
          <w:rFonts w:ascii="Times New Roman" w:eastAsia="Cambria" w:hAnsi="Times New Roman" w:cs="Times New Roman"/>
          <w:i/>
          <w:iCs/>
          <w:sz w:val="24"/>
          <w:szCs w:val="24"/>
          <w:lang w:val="fi-FI" w:eastAsia="en-AU" w:bidi="ar-SA"/>
        </w:rPr>
        <w:t xml:space="preserve"> </w:t>
      </w:r>
      <w:proofErr w:type="spellStart"/>
      <w:r w:rsidRPr="00C16486">
        <w:rPr>
          <w:rFonts w:ascii="Times New Roman" w:eastAsia="Cambria" w:hAnsi="Times New Roman" w:cs="Times New Roman"/>
          <w:i/>
          <w:iCs/>
          <w:sz w:val="24"/>
          <w:szCs w:val="24"/>
          <w:lang w:val="fi-FI" w:eastAsia="en-AU" w:bidi="ar-SA"/>
        </w:rPr>
        <w:t>Tinjauan</w:t>
      </w:r>
      <w:proofErr w:type="spellEnd"/>
      <w:r w:rsidRPr="00C16486">
        <w:rPr>
          <w:rFonts w:ascii="Times New Roman" w:eastAsia="Cambria" w:hAnsi="Times New Roman" w:cs="Times New Roman"/>
          <w:i/>
          <w:iCs/>
          <w:sz w:val="24"/>
          <w:szCs w:val="24"/>
          <w:lang w:val="fi-FI" w:eastAsia="en-AU" w:bidi="ar-SA"/>
        </w:rPr>
        <w:t xml:space="preserve"> </w:t>
      </w:r>
      <w:proofErr w:type="spellStart"/>
      <w:r w:rsidRPr="00C16486">
        <w:rPr>
          <w:rFonts w:ascii="Times New Roman" w:eastAsia="Cambria" w:hAnsi="Times New Roman" w:cs="Times New Roman"/>
          <w:i/>
          <w:iCs/>
          <w:sz w:val="24"/>
          <w:szCs w:val="24"/>
          <w:lang w:val="fi-FI" w:eastAsia="en-AU" w:bidi="ar-SA"/>
        </w:rPr>
        <w:t>Singkat</w:t>
      </w:r>
      <w:proofErr w:type="spellEnd"/>
      <w:r w:rsidRPr="00C16486">
        <w:rPr>
          <w:rFonts w:ascii="Times New Roman" w:eastAsia="Cambria" w:hAnsi="Times New Roman" w:cs="Times New Roman"/>
          <w:sz w:val="24"/>
          <w:szCs w:val="24"/>
          <w:lang w:val="fi-FI" w:eastAsia="en-AU" w:bidi="ar-SA"/>
        </w:rPr>
        <w:t xml:space="preserve">. </w:t>
      </w:r>
      <w:r w:rsidRPr="00C16486">
        <w:rPr>
          <w:rFonts w:ascii="Times New Roman" w:eastAsia="Cambria" w:hAnsi="Times New Roman" w:cs="Times New Roman"/>
          <w:sz w:val="24"/>
          <w:szCs w:val="24"/>
          <w:lang w:val="en-AU" w:eastAsia="en-AU" w:bidi="ar-SA"/>
        </w:rPr>
        <w:t xml:space="preserve">Jakarta: </w:t>
      </w:r>
      <w:proofErr w:type="spellStart"/>
      <w:r w:rsidRPr="00C16486">
        <w:rPr>
          <w:rFonts w:ascii="Times New Roman" w:eastAsia="Cambria" w:hAnsi="Times New Roman" w:cs="Times New Roman"/>
          <w:sz w:val="24"/>
          <w:szCs w:val="24"/>
          <w:lang w:val="en-AU" w:eastAsia="en-AU" w:bidi="ar-SA"/>
        </w:rPr>
        <w:t>Rajawali</w:t>
      </w:r>
      <w:proofErr w:type="spellEnd"/>
      <w:r w:rsidRPr="00C16486">
        <w:rPr>
          <w:rFonts w:ascii="Times New Roman" w:eastAsia="Cambria" w:hAnsi="Times New Roman" w:cs="Times New Roman"/>
          <w:sz w:val="24"/>
          <w:szCs w:val="24"/>
          <w:lang w:val="en-AU" w:eastAsia="en-AU" w:bidi="ar-SA"/>
        </w:rPr>
        <w:t xml:space="preserve"> Pers, 2015.</w:t>
      </w:r>
    </w:p>
    <w:p w14:paraId="1E5195E4" w14:textId="1A96A682" w:rsidR="00C16486" w:rsidRPr="00C16486" w:rsidRDefault="00C16486" w:rsidP="00C16486">
      <w:pPr>
        <w:spacing w:before="240" w:after="100" w:line="240" w:lineRule="auto"/>
        <w:ind w:left="720" w:hanging="720"/>
        <w:jc w:val="both"/>
        <w:rPr>
          <w:rFonts w:ascii="Times New Roman" w:eastAsia="Cambria" w:hAnsi="Times New Roman" w:cs="Times New Roman"/>
          <w:sz w:val="24"/>
          <w:szCs w:val="24"/>
          <w:lang w:val="en-AU" w:eastAsia="en-AU" w:bidi="ar-SA"/>
        </w:rPr>
      </w:pPr>
      <w:r w:rsidRPr="00C16486">
        <w:rPr>
          <w:rFonts w:ascii="Times New Roman" w:eastAsia="Cambria" w:hAnsi="Times New Roman" w:cs="Times New Roman"/>
          <w:sz w:val="24"/>
          <w:szCs w:val="24"/>
          <w:lang w:val="en-AU" w:eastAsia="en-AU" w:bidi="ar-SA"/>
        </w:rPr>
        <w:t xml:space="preserve">Zehr, Howard. </w:t>
      </w:r>
      <w:r w:rsidRPr="00C16486">
        <w:rPr>
          <w:rFonts w:ascii="Times New Roman" w:eastAsia="Cambria" w:hAnsi="Times New Roman" w:cs="Times New Roman"/>
          <w:i/>
          <w:iCs/>
          <w:sz w:val="24"/>
          <w:szCs w:val="24"/>
          <w:lang w:val="en-AU" w:eastAsia="en-AU" w:bidi="ar-SA"/>
        </w:rPr>
        <w:t>The Little Book of Restorative Justice</w:t>
      </w:r>
      <w:r w:rsidRPr="00C16486">
        <w:rPr>
          <w:rFonts w:ascii="Times New Roman" w:eastAsia="Cambria" w:hAnsi="Times New Roman" w:cs="Times New Roman"/>
          <w:sz w:val="24"/>
          <w:szCs w:val="24"/>
          <w:lang w:val="en-AU" w:eastAsia="en-AU" w:bidi="ar-SA"/>
        </w:rPr>
        <w:t>. Rev. ed. New York: Good Books, 2015.</w:t>
      </w:r>
    </w:p>
    <w:p w14:paraId="3607DA2B" w14:textId="3AF01290" w:rsidR="00A90240" w:rsidRPr="00C626FA" w:rsidRDefault="00000000" w:rsidP="00C16486">
      <w:pPr>
        <w:spacing w:before="240" w:after="0"/>
        <w:ind w:left="284"/>
        <w:jc w:val="center"/>
        <w:rPr>
          <w:rFonts w:ascii="Cambria" w:eastAsia="EB Garamond" w:hAnsi="Cambria" w:cs="EB Garamond"/>
          <w:b/>
          <w:bCs/>
          <w:color w:val="215B57"/>
          <w:szCs w:val="22"/>
        </w:rPr>
      </w:pPr>
      <w:r w:rsidRPr="00C626FA">
        <w:rPr>
          <w:rFonts w:ascii="Cambria" w:eastAsia="EB Garamond" w:hAnsi="Cambria" w:cs="EB Garamond"/>
          <w:b/>
          <w:bCs/>
          <w:color w:val="215B57"/>
          <w:szCs w:val="22"/>
        </w:rPr>
        <w:t>Journal article:</w:t>
      </w:r>
    </w:p>
    <w:p w14:paraId="2D0CC080" w14:textId="77777777" w:rsidR="00C16486" w:rsidRPr="00C16486" w:rsidRDefault="00C16486" w:rsidP="00C16486">
      <w:pPr>
        <w:spacing w:before="240" w:after="100" w:line="240" w:lineRule="auto"/>
        <w:ind w:left="720" w:hanging="720"/>
        <w:jc w:val="both"/>
        <w:rPr>
          <w:rFonts w:ascii="Times New Roman" w:eastAsia="Cambria" w:hAnsi="Times New Roman" w:cs="Times New Roman"/>
          <w:sz w:val="24"/>
          <w:szCs w:val="24"/>
          <w:lang w:val="en-AU" w:eastAsia="en-AU" w:bidi="ar-SA"/>
        </w:rPr>
      </w:pPr>
      <w:proofErr w:type="spellStart"/>
      <w:r w:rsidRPr="00C16486">
        <w:rPr>
          <w:rFonts w:ascii="Times New Roman" w:eastAsia="Cambria" w:hAnsi="Times New Roman" w:cs="Times New Roman"/>
          <w:sz w:val="24"/>
          <w:szCs w:val="24"/>
          <w:lang w:val="en-AU" w:eastAsia="en-AU" w:bidi="ar-SA"/>
        </w:rPr>
        <w:lastRenderedPageBreak/>
        <w:t>Berliana</w:t>
      </w:r>
      <w:proofErr w:type="spellEnd"/>
      <w:r w:rsidRPr="00C16486">
        <w:rPr>
          <w:rFonts w:ascii="Times New Roman" w:eastAsia="Cambria" w:hAnsi="Times New Roman" w:cs="Times New Roman"/>
          <w:sz w:val="24"/>
          <w:szCs w:val="24"/>
          <w:lang w:val="en-AU" w:eastAsia="en-AU" w:bidi="ar-SA"/>
        </w:rPr>
        <w:t xml:space="preserve">, Mutiara, and Wilson Silalahi. "Hak Cipta Musik dan </w:t>
      </w:r>
      <w:proofErr w:type="spellStart"/>
      <w:r w:rsidRPr="00C16486">
        <w:rPr>
          <w:rFonts w:ascii="Times New Roman" w:eastAsia="Cambria" w:hAnsi="Times New Roman" w:cs="Times New Roman"/>
          <w:sz w:val="24"/>
          <w:szCs w:val="24"/>
          <w:lang w:val="en-AU" w:eastAsia="en-AU" w:bidi="ar-SA"/>
        </w:rPr>
        <w:t>Pengaruhnya</w:t>
      </w:r>
      <w:proofErr w:type="spellEnd"/>
      <w:r w:rsidRPr="00C16486">
        <w:rPr>
          <w:rFonts w:ascii="Times New Roman" w:eastAsia="Cambria" w:hAnsi="Times New Roman" w:cs="Times New Roman"/>
          <w:sz w:val="24"/>
          <w:szCs w:val="24"/>
          <w:lang w:val="en-AU" w:eastAsia="en-AU" w:bidi="ar-SA"/>
        </w:rPr>
        <w:t xml:space="preserve"> </w:t>
      </w:r>
      <w:proofErr w:type="spellStart"/>
      <w:r w:rsidRPr="00C16486">
        <w:rPr>
          <w:rFonts w:ascii="Times New Roman" w:eastAsia="Cambria" w:hAnsi="Times New Roman" w:cs="Times New Roman"/>
          <w:sz w:val="24"/>
          <w:szCs w:val="24"/>
          <w:lang w:val="en-AU" w:eastAsia="en-AU" w:bidi="ar-SA"/>
        </w:rPr>
        <w:t>terhadap</w:t>
      </w:r>
      <w:proofErr w:type="spellEnd"/>
      <w:r w:rsidRPr="00C16486">
        <w:rPr>
          <w:rFonts w:ascii="Times New Roman" w:eastAsia="Cambria" w:hAnsi="Times New Roman" w:cs="Times New Roman"/>
          <w:sz w:val="24"/>
          <w:szCs w:val="24"/>
          <w:lang w:val="en-AU" w:eastAsia="en-AU" w:bidi="ar-SA"/>
        </w:rPr>
        <w:t xml:space="preserve"> Industri Musik di Indonesia." </w:t>
      </w:r>
      <w:r w:rsidRPr="00C16486">
        <w:rPr>
          <w:rFonts w:ascii="Times New Roman" w:eastAsia="Cambria" w:hAnsi="Times New Roman" w:cs="Times New Roman"/>
          <w:i/>
          <w:iCs/>
          <w:sz w:val="24"/>
          <w:szCs w:val="24"/>
          <w:lang w:val="en-AU" w:eastAsia="en-AU" w:bidi="ar-SA"/>
        </w:rPr>
        <w:t xml:space="preserve">USRAH: </w:t>
      </w:r>
      <w:proofErr w:type="spellStart"/>
      <w:r w:rsidRPr="00C16486">
        <w:rPr>
          <w:rFonts w:ascii="Times New Roman" w:eastAsia="Cambria" w:hAnsi="Times New Roman" w:cs="Times New Roman"/>
          <w:i/>
          <w:iCs/>
          <w:sz w:val="24"/>
          <w:szCs w:val="24"/>
          <w:lang w:val="en-AU" w:eastAsia="en-AU" w:bidi="ar-SA"/>
        </w:rPr>
        <w:t>Jurnal</w:t>
      </w:r>
      <w:proofErr w:type="spellEnd"/>
      <w:r w:rsidRPr="00C16486">
        <w:rPr>
          <w:rFonts w:ascii="Times New Roman" w:eastAsia="Cambria" w:hAnsi="Times New Roman" w:cs="Times New Roman"/>
          <w:i/>
          <w:iCs/>
          <w:sz w:val="24"/>
          <w:szCs w:val="24"/>
          <w:lang w:val="en-AU" w:eastAsia="en-AU" w:bidi="ar-SA"/>
        </w:rPr>
        <w:t xml:space="preserve"> Hukum </w:t>
      </w:r>
      <w:proofErr w:type="spellStart"/>
      <w:r w:rsidRPr="00C16486">
        <w:rPr>
          <w:rFonts w:ascii="Times New Roman" w:eastAsia="Cambria" w:hAnsi="Times New Roman" w:cs="Times New Roman"/>
          <w:i/>
          <w:iCs/>
          <w:sz w:val="24"/>
          <w:szCs w:val="24"/>
          <w:lang w:val="en-AU" w:eastAsia="en-AU" w:bidi="ar-SA"/>
        </w:rPr>
        <w:t>Keluarga</w:t>
      </w:r>
      <w:proofErr w:type="spellEnd"/>
      <w:r w:rsidRPr="00C16486">
        <w:rPr>
          <w:rFonts w:ascii="Times New Roman" w:eastAsia="Cambria" w:hAnsi="Times New Roman" w:cs="Times New Roman"/>
          <w:i/>
          <w:iCs/>
          <w:sz w:val="24"/>
          <w:szCs w:val="24"/>
          <w:lang w:val="en-AU" w:eastAsia="en-AU" w:bidi="ar-SA"/>
        </w:rPr>
        <w:t xml:space="preserve"> Islam</w:t>
      </w:r>
      <w:r w:rsidRPr="00C16486">
        <w:rPr>
          <w:rFonts w:ascii="Times New Roman" w:eastAsia="Cambria" w:hAnsi="Times New Roman" w:cs="Times New Roman"/>
          <w:sz w:val="24"/>
          <w:szCs w:val="24"/>
          <w:lang w:val="en-AU" w:eastAsia="en-AU" w:bidi="ar-SA"/>
        </w:rPr>
        <w:t xml:space="preserve"> 6, no. 1 (2025): 199–212.</w:t>
      </w:r>
    </w:p>
    <w:p w14:paraId="5D41AA97" w14:textId="77777777" w:rsidR="00C16486" w:rsidRPr="00C16486" w:rsidRDefault="00C16486" w:rsidP="00C16486">
      <w:pPr>
        <w:spacing w:before="240" w:after="100" w:line="240" w:lineRule="auto"/>
        <w:ind w:left="720" w:hanging="720"/>
        <w:jc w:val="both"/>
        <w:rPr>
          <w:rFonts w:ascii="Times New Roman" w:eastAsia="Cambria" w:hAnsi="Times New Roman" w:cs="Times New Roman"/>
          <w:sz w:val="24"/>
          <w:szCs w:val="24"/>
          <w:lang w:val="fi-FI" w:eastAsia="en-AU" w:bidi="ar-SA"/>
        </w:rPr>
      </w:pPr>
      <w:proofErr w:type="spellStart"/>
      <w:r w:rsidRPr="00C16486">
        <w:rPr>
          <w:rFonts w:ascii="Times New Roman" w:eastAsia="Cambria" w:hAnsi="Times New Roman" w:cs="Times New Roman"/>
          <w:sz w:val="24"/>
          <w:szCs w:val="24"/>
          <w:lang w:val="en-AU" w:eastAsia="en-AU" w:bidi="ar-SA"/>
        </w:rPr>
        <w:t>Indarsen</w:t>
      </w:r>
      <w:proofErr w:type="spellEnd"/>
      <w:r w:rsidRPr="00C16486">
        <w:rPr>
          <w:rFonts w:ascii="Times New Roman" w:eastAsia="Cambria" w:hAnsi="Times New Roman" w:cs="Times New Roman"/>
          <w:sz w:val="24"/>
          <w:szCs w:val="24"/>
          <w:lang w:val="en-AU" w:eastAsia="en-AU" w:bidi="ar-SA"/>
        </w:rPr>
        <w:t>, Nurul. "</w:t>
      </w:r>
      <w:proofErr w:type="spellStart"/>
      <w:r w:rsidRPr="00C16486">
        <w:rPr>
          <w:rFonts w:ascii="Times New Roman" w:eastAsia="Cambria" w:hAnsi="Times New Roman" w:cs="Times New Roman"/>
          <w:sz w:val="24"/>
          <w:szCs w:val="24"/>
          <w:lang w:val="en-AU" w:eastAsia="en-AU" w:bidi="ar-SA"/>
        </w:rPr>
        <w:t>Konsekuensi</w:t>
      </w:r>
      <w:proofErr w:type="spellEnd"/>
      <w:r w:rsidRPr="00C16486">
        <w:rPr>
          <w:rFonts w:ascii="Times New Roman" w:eastAsia="Cambria" w:hAnsi="Times New Roman" w:cs="Times New Roman"/>
          <w:sz w:val="24"/>
          <w:szCs w:val="24"/>
          <w:lang w:val="en-AU" w:eastAsia="en-AU" w:bidi="ar-SA"/>
        </w:rPr>
        <w:t xml:space="preserve"> </w:t>
      </w:r>
      <w:proofErr w:type="spellStart"/>
      <w:r w:rsidRPr="00C16486">
        <w:rPr>
          <w:rFonts w:ascii="Times New Roman" w:eastAsia="Cambria" w:hAnsi="Times New Roman" w:cs="Times New Roman"/>
          <w:sz w:val="24"/>
          <w:szCs w:val="24"/>
          <w:lang w:val="en-AU" w:eastAsia="en-AU" w:bidi="ar-SA"/>
        </w:rPr>
        <w:t>Hadirnya</w:t>
      </w:r>
      <w:proofErr w:type="spellEnd"/>
      <w:r w:rsidRPr="00C16486">
        <w:rPr>
          <w:rFonts w:ascii="Times New Roman" w:eastAsia="Cambria" w:hAnsi="Times New Roman" w:cs="Times New Roman"/>
          <w:sz w:val="24"/>
          <w:szCs w:val="24"/>
          <w:lang w:val="en-AU" w:eastAsia="en-AU" w:bidi="ar-SA"/>
        </w:rPr>
        <w:t xml:space="preserve"> </w:t>
      </w:r>
      <w:proofErr w:type="spellStart"/>
      <w:r w:rsidRPr="00C16486">
        <w:rPr>
          <w:rFonts w:ascii="Times New Roman" w:eastAsia="Cambria" w:hAnsi="Times New Roman" w:cs="Times New Roman"/>
          <w:sz w:val="24"/>
          <w:szCs w:val="24"/>
          <w:lang w:val="en-AU" w:eastAsia="en-AU" w:bidi="ar-SA"/>
        </w:rPr>
        <w:t>Peraturan</w:t>
      </w:r>
      <w:proofErr w:type="spellEnd"/>
      <w:r w:rsidRPr="00C16486">
        <w:rPr>
          <w:rFonts w:ascii="Times New Roman" w:eastAsia="Cambria" w:hAnsi="Times New Roman" w:cs="Times New Roman"/>
          <w:sz w:val="24"/>
          <w:szCs w:val="24"/>
          <w:lang w:val="en-AU" w:eastAsia="en-AU" w:bidi="ar-SA"/>
        </w:rPr>
        <w:t xml:space="preserve"> </w:t>
      </w:r>
      <w:proofErr w:type="spellStart"/>
      <w:r w:rsidRPr="00C16486">
        <w:rPr>
          <w:rFonts w:ascii="Times New Roman" w:eastAsia="Cambria" w:hAnsi="Times New Roman" w:cs="Times New Roman"/>
          <w:sz w:val="24"/>
          <w:szCs w:val="24"/>
          <w:lang w:val="en-AU" w:eastAsia="en-AU" w:bidi="ar-SA"/>
        </w:rPr>
        <w:t>Pemerintah</w:t>
      </w:r>
      <w:proofErr w:type="spellEnd"/>
      <w:r w:rsidRPr="00C16486">
        <w:rPr>
          <w:rFonts w:ascii="Times New Roman" w:eastAsia="Cambria" w:hAnsi="Times New Roman" w:cs="Times New Roman"/>
          <w:sz w:val="24"/>
          <w:szCs w:val="24"/>
          <w:lang w:val="en-AU" w:eastAsia="en-AU" w:bidi="ar-SA"/>
        </w:rPr>
        <w:t xml:space="preserve"> </w:t>
      </w:r>
      <w:proofErr w:type="spellStart"/>
      <w:r w:rsidRPr="00C16486">
        <w:rPr>
          <w:rFonts w:ascii="Times New Roman" w:eastAsia="Cambria" w:hAnsi="Times New Roman" w:cs="Times New Roman"/>
          <w:sz w:val="24"/>
          <w:szCs w:val="24"/>
          <w:lang w:val="en-AU" w:eastAsia="en-AU" w:bidi="ar-SA"/>
        </w:rPr>
        <w:t>Nomor</w:t>
      </w:r>
      <w:proofErr w:type="spellEnd"/>
      <w:r w:rsidRPr="00C16486">
        <w:rPr>
          <w:rFonts w:ascii="Times New Roman" w:eastAsia="Cambria" w:hAnsi="Times New Roman" w:cs="Times New Roman"/>
          <w:sz w:val="24"/>
          <w:szCs w:val="24"/>
          <w:lang w:val="en-AU" w:eastAsia="en-AU" w:bidi="ar-SA"/>
        </w:rPr>
        <w:t xml:space="preserve"> 56 </w:t>
      </w:r>
      <w:proofErr w:type="spellStart"/>
      <w:r w:rsidRPr="00C16486">
        <w:rPr>
          <w:rFonts w:ascii="Times New Roman" w:eastAsia="Cambria" w:hAnsi="Times New Roman" w:cs="Times New Roman"/>
          <w:sz w:val="24"/>
          <w:szCs w:val="24"/>
          <w:lang w:val="en-AU" w:eastAsia="en-AU" w:bidi="ar-SA"/>
        </w:rPr>
        <w:t>Tahun</w:t>
      </w:r>
      <w:proofErr w:type="spellEnd"/>
      <w:r w:rsidRPr="00C16486">
        <w:rPr>
          <w:rFonts w:ascii="Times New Roman" w:eastAsia="Cambria" w:hAnsi="Times New Roman" w:cs="Times New Roman"/>
          <w:sz w:val="24"/>
          <w:szCs w:val="24"/>
          <w:lang w:val="en-AU" w:eastAsia="en-AU" w:bidi="ar-SA"/>
        </w:rPr>
        <w:t xml:space="preserve"> 2021 </w:t>
      </w:r>
      <w:proofErr w:type="spellStart"/>
      <w:r w:rsidRPr="00C16486">
        <w:rPr>
          <w:rFonts w:ascii="Times New Roman" w:eastAsia="Cambria" w:hAnsi="Times New Roman" w:cs="Times New Roman"/>
          <w:sz w:val="24"/>
          <w:szCs w:val="24"/>
          <w:lang w:val="en-AU" w:eastAsia="en-AU" w:bidi="ar-SA"/>
        </w:rPr>
        <w:t>tentang</w:t>
      </w:r>
      <w:proofErr w:type="spellEnd"/>
      <w:r w:rsidRPr="00C16486">
        <w:rPr>
          <w:rFonts w:ascii="Times New Roman" w:eastAsia="Cambria" w:hAnsi="Times New Roman" w:cs="Times New Roman"/>
          <w:sz w:val="24"/>
          <w:szCs w:val="24"/>
          <w:lang w:val="en-AU" w:eastAsia="en-AU" w:bidi="ar-SA"/>
        </w:rPr>
        <w:t xml:space="preserve"> </w:t>
      </w:r>
      <w:proofErr w:type="spellStart"/>
      <w:r w:rsidRPr="00C16486">
        <w:rPr>
          <w:rFonts w:ascii="Times New Roman" w:eastAsia="Cambria" w:hAnsi="Times New Roman" w:cs="Times New Roman"/>
          <w:sz w:val="24"/>
          <w:szCs w:val="24"/>
          <w:lang w:val="en-AU" w:eastAsia="en-AU" w:bidi="ar-SA"/>
        </w:rPr>
        <w:t>Pengelolaan</w:t>
      </w:r>
      <w:proofErr w:type="spellEnd"/>
      <w:r w:rsidRPr="00C16486">
        <w:rPr>
          <w:rFonts w:ascii="Times New Roman" w:eastAsia="Cambria" w:hAnsi="Times New Roman" w:cs="Times New Roman"/>
          <w:sz w:val="24"/>
          <w:szCs w:val="24"/>
          <w:lang w:val="en-AU" w:eastAsia="en-AU" w:bidi="ar-SA"/>
        </w:rPr>
        <w:t xml:space="preserve"> Royalti Hak Cipta Lagu dan/</w:t>
      </w:r>
      <w:proofErr w:type="spellStart"/>
      <w:r w:rsidRPr="00C16486">
        <w:rPr>
          <w:rFonts w:ascii="Times New Roman" w:eastAsia="Cambria" w:hAnsi="Times New Roman" w:cs="Times New Roman"/>
          <w:sz w:val="24"/>
          <w:szCs w:val="24"/>
          <w:lang w:val="en-AU" w:eastAsia="en-AU" w:bidi="ar-SA"/>
        </w:rPr>
        <w:t>atau</w:t>
      </w:r>
      <w:proofErr w:type="spellEnd"/>
      <w:r w:rsidRPr="00C16486">
        <w:rPr>
          <w:rFonts w:ascii="Times New Roman" w:eastAsia="Cambria" w:hAnsi="Times New Roman" w:cs="Times New Roman"/>
          <w:sz w:val="24"/>
          <w:szCs w:val="24"/>
          <w:lang w:val="en-AU" w:eastAsia="en-AU" w:bidi="ar-SA"/>
        </w:rPr>
        <w:t xml:space="preserve"> Musik </w:t>
      </w:r>
      <w:proofErr w:type="spellStart"/>
      <w:r w:rsidRPr="00C16486">
        <w:rPr>
          <w:rFonts w:ascii="Times New Roman" w:eastAsia="Cambria" w:hAnsi="Times New Roman" w:cs="Times New Roman"/>
          <w:sz w:val="24"/>
          <w:szCs w:val="24"/>
          <w:lang w:val="en-AU" w:eastAsia="en-AU" w:bidi="ar-SA"/>
        </w:rPr>
        <w:t>terhadap</w:t>
      </w:r>
      <w:proofErr w:type="spellEnd"/>
      <w:r w:rsidRPr="00C16486">
        <w:rPr>
          <w:rFonts w:ascii="Times New Roman" w:eastAsia="Cambria" w:hAnsi="Times New Roman" w:cs="Times New Roman"/>
          <w:sz w:val="24"/>
          <w:szCs w:val="24"/>
          <w:lang w:val="en-AU" w:eastAsia="en-AU" w:bidi="ar-SA"/>
        </w:rPr>
        <w:t xml:space="preserve"> </w:t>
      </w:r>
      <w:proofErr w:type="spellStart"/>
      <w:r w:rsidRPr="00C16486">
        <w:rPr>
          <w:rFonts w:ascii="Times New Roman" w:eastAsia="Cambria" w:hAnsi="Times New Roman" w:cs="Times New Roman"/>
          <w:sz w:val="24"/>
          <w:szCs w:val="24"/>
          <w:lang w:val="en-AU" w:eastAsia="en-AU" w:bidi="ar-SA"/>
        </w:rPr>
        <w:t>Pemungutan</w:t>
      </w:r>
      <w:proofErr w:type="spellEnd"/>
      <w:r w:rsidRPr="00C16486">
        <w:rPr>
          <w:rFonts w:ascii="Times New Roman" w:eastAsia="Cambria" w:hAnsi="Times New Roman" w:cs="Times New Roman"/>
          <w:sz w:val="24"/>
          <w:szCs w:val="24"/>
          <w:lang w:val="en-AU" w:eastAsia="en-AU" w:bidi="ar-SA"/>
        </w:rPr>
        <w:t xml:space="preserve"> Royalti Lagu dan/</w:t>
      </w:r>
      <w:proofErr w:type="spellStart"/>
      <w:r w:rsidRPr="00C16486">
        <w:rPr>
          <w:rFonts w:ascii="Times New Roman" w:eastAsia="Cambria" w:hAnsi="Times New Roman" w:cs="Times New Roman"/>
          <w:sz w:val="24"/>
          <w:szCs w:val="24"/>
          <w:lang w:val="en-AU" w:eastAsia="en-AU" w:bidi="ar-SA"/>
        </w:rPr>
        <w:t>atau</w:t>
      </w:r>
      <w:proofErr w:type="spellEnd"/>
      <w:r w:rsidRPr="00C16486">
        <w:rPr>
          <w:rFonts w:ascii="Times New Roman" w:eastAsia="Cambria" w:hAnsi="Times New Roman" w:cs="Times New Roman"/>
          <w:sz w:val="24"/>
          <w:szCs w:val="24"/>
          <w:lang w:val="en-AU" w:eastAsia="en-AU" w:bidi="ar-SA"/>
        </w:rPr>
        <w:t xml:space="preserve"> Musik." </w:t>
      </w:r>
      <w:proofErr w:type="spellStart"/>
      <w:r w:rsidRPr="00C16486">
        <w:rPr>
          <w:rFonts w:ascii="Times New Roman" w:eastAsia="Cambria" w:hAnsi="Times New Roman" w:cs="Times New Roman"/>
          <w:i/>
          <w:iCs/>
          <w:sz w:val="24"/>
          <w:szCs w:val="24"/>
          <w:lang w:val="fi-FI" w:eastAsia="en-AU" w:bidi="ar-SA"/>
        </w:rPr>
        <w:t>Locus</w:t>
      </w:r>
      <w:proofErr w:type="spellEnd"/>
      <w:r w:rsidRPr="00C16486">
        <w:rPr>
          <w:rFonts w:ascii="Times New Roman" w:eastAsia="Cambria" w:hAnsi="Times New Roman" w:cs="Times New Roman"/>
          <w:i/>
          <w:iCs/>
          <w:sz w:val="24"/>
          <w:szCs w:val="24"/>
          <w:lang w:val="fi-FI" w:eastAsia="en-AU" w:bidi="ar-SA"/>
        </w:rPr>
        <w:t xml:space="preserve">: </w:t>
      </w:r>
      <w:proofErr w:type="spellStart"/>
      <w:r w:rsidRPr="00C16486">
        <w:rPr>
          <w:rFonts w:ascii="Times New Roman" w:eastAsia="Cambria" w:hAnsi="Times New Roman" w:cs="Times New Roman"/>
          <w:i/>
          <w:iCs/>
          <w:sz w:val="24"/>
          <w:szCs w:val="24"/>
          <w:lang w:val="fi-FI" w:eastAsia="en-AU" w:bidi="ar-SA"/>
        </w:rPr>
        <w:t>Jurnal</w:t>
      </w:r>
      <w:proofErr w:type="spellEnd"/>
      <w:r w:rsidRPr="00C16486">
        <w:rPr>
          <w:rFonts w:ascii="Times New Roman" w:eastAsia="Cambria" w:hAnsi="Times New Roman" w:cs="Times New Roman"/>
          <w:i/>
          <w:iCs/>
          <w:sz w:val="24"/>
          <w:szCs w:val="24"/>
          <w:lang w:val="fi-FI" w:eastAsia="en-AU" w:bidi="ar-SA"/>
        </w:rPr>
        <w:t xml:space="preserve"> </w:t>
      </w:r>
      <w:proofErr w:type="spellStart"/>
      <w:r w:rsidRPr="00C16486">
        <w:rPr>
          <w:rFonts w:ascii="Times New Roman" w:eastAsia="Cambria" w:hAnsi="Times New Roman" w:cs="Times New Roman"/>
          <w:i/>
          <w:iCs/>
          <w:sz w:val="24"/>
          <w:szCs w:val="24"/>
          <w:lang w:val="fi-FI" w:eastAsia="en-AU" w:bidi="ar-SA"/>
        </w:rPr>
        <w:t>Konsep</w:t>
      </w:r>
      <w:proofErr w:type="spellEnd"/>
      <w:r w:rsidRPr="00C16486">
        <w:rPr>
          <w:rFonts w:ascii="Times New Roman" w:eastAsia="Cambria" w:hAnsi="Times New Roman" w:cs="Times New Roman"/>
          <w:i/>
          <w:iCs/>
          <w:sz w:val="24"/>
          <w:szCs w:val="24"/>
          <w:lang w:val="fi-FI" w:eastAsia="en-AU" w:bidi="ar-SA"/>
        </w:rPr>
        <w:t xml:space="preserve"> </w:t>
      </w:r>
      <w:proofErr w:type="spellStart"/>
      <w:r w:rsidRPr="00C16486">
        <w:rPr>
          <w:rFonts w:ascii="Times New Roman" w:eastAsia="Cambria" w:hAnsi="Times New Roman" w:cs="Times New Roman"/>
          <w:i/>
          <w:iCs/>
          <w:sz w:val="24"/>
          <w:szCs w:val="24"/>
          <w:lang w:val="fi-FI" w:eastAsia="en-AU" w:bidi="ar-SA"/>
        </w:rPr>
        <w:t>Ilmu</w:t>
      </w:r>
      <w:proofErr w:type="spellEnd"/>
      <w:r w:rsidRPr="00C16486">
        <w:rPr>
          <w:rFonts w:ascii="Times New Roman" w:eastAsia="Cambria" w:hAnsi="Times New Roman" w:cs="Times New Roman"/>
          <w:i/>
          <w:iCs/>
          <w:sz w:val="24"/>
          <w:szCs w:val="24"/>
          <w:lang w:val="fi-FI" w:eastAsia="en-AU" w:bidi="ar-SA"/>
        </w:rPr>
        <w:t xml:space="preserve"> </w:t>
      </w:r>
      <w:proofErr w:type="spellStart"/>
      <w:r w:rsidRPr="00C16486">
        <w:rPr>
          <w:rFonts w:ascii="Times New Roman" w:eastAsia="Cambria" w:hAnsi="Times New Roman" w:cs="Times New Roman"/>
          <w:i/>
          <w:iCs/>
          <w:sz w:val="24"/>
          <w:szCs w:val="24"/>
          <w:lang w:val="fi-FI" w:eastAsia="en-AU" w:bidi="ar-SA"/>
        </w:rPr>
        <w:t>Hukum</w:t>
      </w:r>
      <w:proofErr w:type="spellEnd"/>
      <w:r w:rsidRPr="00C16486">
        <w:rPr>
          <w:rFonts w:ascii="Times New Roman" w:eastAsia="Cambria" w:hAnsi="Times New Roman" w:cs="Times New Roman"/>
          <w:sz w:val="24"/>
          <w:szCs w:val="24"/>
          <w:lang w:val="fi-FI" w:eastAsia="en-AU" w:bidi="ar-SA"/>
        </w:rPr>
        <w:t xml:space="preserve"> 3, no. 2 (2023): 99–112.</w:t>
      </w:r>
    </w:p>
    <w:p w14:paraId="3B3A569F" w14:textId="77777777" w:rsidR="00C16486" w:rsidRPr="00C16486" w:rsidRDefault="00C16486" w:rsidP="00C16486">
      <w:pPr>
        <w:spacing w:before="240" w:after="100" w:line="240" w:lineRule="auto"/>
        <w:ind w:left="720" w:hanging="720"/>
        <w:jc w:val="both"/>
        <w:rPr>
          <w:rFonts w:ascii="Times New Roman" w:eastAsia="Cambria" w:hAnsi="Times New Roman" w:cs="Times New Roman"/>
          <w:sz w:val="24"/>
          <w:szCs w:val="24"/>
          <w:lang w:val="fi-FI" w:eastAsia="en-AU" w:bidi="ar-SA"/>
        </w:rPr>
      </w:pPr>
      <w:proofErr w:type="spellStart"/>
      <w:r w:rsidRPr="00C16486">
        <w:rPr>
          <w:rFonts w:ascii="Times New Roman" w:eastAsia="Cambria" w:hAnsi="Times New Roman" w:cs="Times New Roman"/>
          <w:sz w:val="24"/>
          <w:szCs w:val="24"/>
          <w:lang w:val="fi-FI" w:eastAsia="en-AU" w:bidi="ar-SA"/>
        </w:rPr>
        <w:t>Larasati</w:t>
      </w:r>
      <w:proofErr w:type="spellEnd"/>
      <w:r w:rsidRPr="00C16486">
        <w:rPr>
          <w:rFonts w:ascii="Times New Roman" w:eastAsia="Cambria" w:hAnsi="Times New Roman" w:cs="Times New Roman"/>
          <w:sz w:val="24"/>
          <w:szCs w:val="24"/>
          <w:lang w:val="fi-FI" w:eastAsia="en-AU" w:bidi="ar-SA"/>
        </w:rPr>
        <w:t xml:space="preserve">, </w:t>
      </w:r>
      <w:proofErr w:type="spellStart"/>
      <w:r w:rsidRPr="00C16486">
        <w:rPr>
          <w:rFonts w:ascii="Times New Roman" w:eastAsia="Cambria" w:hAnsi="Times New Roman" w:cs="Times New Roman"/>
          <w:sz w:val="24"/>
          <w:szCs w:val="24"/>
          <w:lang w:val="fi-FI" w:eastAsia="en-AU" w:bidi="ar-SA"/>
        </w:rPr>
        <w:t>Anastasya</w:t>
      </w:r>
      <w:proofErr w:type="spellEnd"/>
      <w:r w:rsidRPr="00C16486">
        <w:rPr>
          <w:rFonts w:ascii="Times New Roman" w:eastAsia="Cambria" w:hAnsi="Times New Roman" w:cs="Times New Roman"/>
          <w:sz w:val="24"/>
          <w:szCs w:val="24"/>
          <w:lang w:val="fi-FI" w:eastAsia="en-AU" w:bidi="ar-SA"/>
        </w:rPr>
        <w:t>, et al. "</w:t>
      </w:r>
      <w:proofErr w:type="spellStart"/>
      <w:r w:rsidRPr="00C16486">
        <w:rPr>
          <w:rFonts w:ascii="Times New Roman" w:eastAsia="Cambria" w:hAnsi="Times New Roman" w:cs="Times New Roman"/>
          <w:sz w:val="24"/>
          <w:szCs w:val="24"/>
          <w:lang w:val="fi-FI" w:eastAsia="en-AU" w:bidi="ar-SA"/>
        </w:rPr>
        <w:t>Perlindungan</w:t>
      </w:r>
      <w:proofErr w:type="spellEnd"/>
      <w:r w:rsidRPr="00C16486">
        <w:rPr>
          <w:rFonts w:ascii="Times New Roman" w:eastAsia="Cambria" w:hAnsi="Times New Roman" w:cs="Times New Roman"/>
          <w:sz w:val="24"/>
          <w:szCs w:val="24"/>
          <w:lang w:val="fi-FI" w:eastAsia="en-AU" w:bidi="ar-SA"/>
        </w:rPr>
        <w:t xml:space="preserve"> </w:t>
      </w:r>
      <w:proofErr w:type="spellStart"/>
      <w:r w:rsidRPr="00C16486">
        <w:rPr>
          <w:rFonts w:ascii="Times New Roman" w:eastAsia="Cambria" w:hAnsi="Times New Roman" w:cs="Times New Roman"/>
          <w:sz w:val="24"/>
          <w:szCs w:val="24"/>
          <w:lang w:val="fi-FI" w:eastAsia="en-AU" w:bidi="ar-SA"/>
        </w:rPr>
        <w:t>Hukum</w:t>
      </w:r>
      <w:proofErr w:type="spellEnd"/>
      <w:r w:rsidRPr="00C16486">
        <w:rPr>
          <w:rFonts w:ascii="Times New Roman" w:eastAsia="Cambria" w:hAnsi="Times New Roman" w:cs="Times New Roman"/>
          <w:sz w:val="24"/>
          <w:szCs w:val="24"/>
          <w:lang w:val="fi-FI" w:eastAsia="en-AU" w:bidi="ar-SA"/>
        </w:rPr>
        <w:t xml:space="preserve"> </w:t>
      </w:r>
      <w:proofErr w:type="spellStart"/>
      <w:r w:rsidRPr="00C16486">
        <w:rPr>
          <w:rFonts w:ascii="Times New Roman" w:eastAsia="Cambria" w:hAnsi="Times New Roman" w:cs="Times New Roman"/>
          <w:sz w:val="24"/>
          <w:szCs w:val="24"/>
          <w:lang w:val="fi-FI" w:eastAsia="en-AU" w:bidi="ar-SA"/>
        </w:rPr>
        <w:t>terhadap</w:t>
      </w:r>
      <w:proofErr w:type="spellEnd"/>
      <w:r w:rsidRPr="00C16486">
        <w:rPr>
          <w:rFonts w:ascii="Times New Roman" w:eastAsia="Cambria" w:hAnsi="Times New Roman" w:cs="Times New Roman"/>
          <w:sz w:val="24"/>
          <w:szCs w:val="24"/>
          <w:lang w:val="fi-FI" w:eastAsia="en-AU" w:bidi="ar-SA"/>
        </w:rPr>
        <w:t xml:space="preserve"> </w:t>
      </w:r>
      <w:proofErr w:type="spellStart"/>
      <w:r w:rsidRPr="00C16486">
        <w:rPr>
          <w:rFonts w:ascii="Times New Roman" w:eastAsia="Cambria" w:hAnsi="Times New Roman" w:cs="Times New Roman"/>
          <w:sz w:val="24"/>
          <w:szCs w:val="24"/>
          <w:lang w:val="fi-FI" w:eastAsia="en-AU" w:bidi="ar-SA"/>
        </w:rPr>
        <w:t>Hak</w:t>
      </w:r>
      <w:proofErr w:type="spellEnd"/>
      <w:r w:rsidRPr="00C16486">
        <w:rPr>
          <w:rFonts w:ascii="Times New Roman" w:eastAsia="Cambria" w:hAnsi="Times New Roman" w:cs="Times New Roman"/>
          <w:sz w:val="24"/>
          <w:szCs w:val="24"/>
          <w:lang w:val="fi-FI" w:eastAsia="en-AU" w:bidi="ar-SA"/>
        </w:rPr>
        <w:t xml:space="preserve"> </w:t>
      </w:r>
      <w:proofErr w:type="spellStart"/>
      <w:r w:rsidRPr="00C16486">
        <w:rPr>
          <w:rFonts w:ascii="Times New Roman" w:eastAsia="Cambria" w:hAnsi="Times New Roman" w:cs="Times New Roman"/>
          <w:sz w:val="24"/>
          <w:szCs w:val="24"/>
          <w:lang w:val="fi-FI" w:eastAsia="en-AU" w:bidi="ar-SA"/>
        </w:rPr>
        <w:t>Cipta</w:t>
      </w:r>
      <w:proofErr w:type="spellEnd"/>
      <w:r w:rsidRPr="00C16486">
        <w:rPr>
          <w:rFonts w:ascii="Times New Roman" w:eastAsia="Cambria" w:hAnsi="Times New Roman" w:cs="Times New Roman"/>
          <w:sz w:val="24"/>
          <w:szCs w:val="24"/>
          <w:lang w:val="fi-FI" w:eastAsia="en-AU" w:bidi="ar-SA"/>
        </w:rPr>
        <w:t xml:space="preserve"> </w:t>
      </w:r>
      <w:proofErr w:type="spellStart"/>
      <w:r w:rsidRPr="00C16486">
        <w:rPr>
          <w:rFonts w:ascii="Times New Roman" w:eastAsia="Cambria" w:hAnsi="Times New Roman" w:cs="Times New Roman"/>
          <w:sz w:val="24"/>
          <w:szCs w:val="24"/>
          <w:lang w:val="fi-FI" w:eastAsia="en-AU" w:bidi="ar-SA"/>
        </w:rPr>
        <w:t>Bidang</w:t>
      </w:r>
      <w:proofErr w:type="spellEnd"/>
      <w:r w:rsidRPr="00C16486">
        <w:rPr>
          <w:rFonts w:ascii="Times New Roman" w:eastAsia="Cambria" w:hAnsi="Times New Roman" w:cs="Times New Roman"/>
          <w:sz w:val="24"/>
          <w:szCs w:val="24"/>
          <w:lang w:val="fi-FI" w:eastAsia="en-AU" w:bidi="ar-SA"/>
        </w:rPr>
        <w:t xml:space="preserve"> </w:t>
      </w:r>
      <w:proofErr w:type="spellStart"/>
      <w:r w:rsidRPr="00C16486">
        <w:rPr>
          <w:rFonts w:ascii="Times New Roman" w:eastAsia="Cambria" w:hAnsi="Times New Roman" w:cs="Times New Roman"/>
          <w:sz w:val="24"/>
          <w:szCs w:val="24"/>
          <w:lang w:val="fi-FI" w:eastAsia="en-AU" w:bidi="ar-SA"/>
        </w:rPr>
        <w:t>Lagu</w:t>
      </w:r>
      <w:proofErr w:type="spellEnd"/>
      <w:r w:rsidRPr="00C16486">
        <w:rPr>
          <w:rFonts w:ascii="Times New Roman" w:eastAsia="Cambria" w:hAnsi="Times New Roman" w:cs="Times New Roman"/>
          <w:sz w:val="24"/>
          <w:szCs w:val="24"/>
          <w:lang w:val="fi-FI" w:eastAsia="en-AU" w:bidi="ar-SA"/>
        </w:rPr>
        <w:t xml:space="preserve"> </w:t>
      </w:r>
      <w:proofErr w:type="spellStart"/>
      <w:r w:rsidRPr="00C16486">
        <w:rPr>
          <w:rFonts w:ascii="Times New Roman" w:eastAsia="Cambria" w:hAnsi="Times New Roman" w:cs="Times New Roman"/>
          <w:sz w:val="24"/>
          <w:szCs w:val="24"/>
          <w:lang w:val="fi-FI" w:eastAsia="en-AU" w:bidi="ar-SA"/>
        </w:rPr>
        <w:t>dan</w:t>
      </w:r>
      <w:proofErr w:type="spellEnd"/>
      <w:r w:rsidRPr="00C16486">
        <w:rPr>
          <w:rFonts w:ascii="Times New Roman" w:eastAsia="Cambria" w:hAnsi="Times New Roman" w:cs="Times New Roman"/>
          <w:sz w:val="24"/>
          <w:szCs w:val="24"/>
          <w:lang w:val="fi-FI" w:eastAsia="en-AU" w:bidi="ar-SA"/>
        </w:rPr>
        <w:t>/</w:t>
      </w:r>
      <w:proofErr w:type="spellStart"/>
      <w:r w:rsidRPr="00C16486">
        <w:rPr>
          <w:rFonts w:ascii="Times New Roman" w:eastAsia="Cambria" w:hAnsi="Times New Roman" w:cs="Times New Roman"/>
          <w:sz w:val="24"/>
          <w:szCs w:val="24"/>
          <w:lang w:val="fi-FI" w:eastAsia="en-AU" w:bidi="ar-SA"/>
        </w:rPr>
        <w:t>atau</w:t>
      </w:r>
      <w:proofErr w:type="spellEnd"/>
      <w:r w:rsidRPr="00C16486">
        <w:rPr>
          <w:rFonts w:ascii="Times New Roman" w:eastAsia="Cambria" w:hAnsi="Times New Roman" w:cs="Times New Roman"/>
          <w:sz w:val="24"/>
          <w:szCs w:val="24"/>
          <w:lang w:val="fi-FI" w:eastAsia="en-AU" w:bidi="ar-SA"/>
        </w:rPr>
        <w:t xml:space="preserve"> </w:t>
      </w:r>
      <w:proofErr w:type="spellStart"/>
      <w:r w:rsidRPr="00C16486">
        <w:rPr>
          <w:rFonts w:ascii="Times New Roman" w:eastAsia="Cambria" w:hAnsi="Times New Roman" w:cs="Times New Roman"/>
          <w:sz w:val="24"/>
          <w:szCs w:val="24"/>
          <w:lang w:val="fi-FI" w:eastAsia="en-AU" w:bidi="ar-SA"/>
        </w:rPr>
        <w:t>Musik</w:t>
      </w:r>
      <w:proofErr w:type="spellEnd"/>
      <w:r w:rsidRPr="00C16486">
        <w:rPr>
          <w:rFonts w:ascii="Times New Roman" w:eastAsia="Cambria" w:hAnsi="Times New Roman" w:cs="Times New Roman"/>
          <w:sz w:val="24"/>
          <w:szCs w:val="24"/>
          <w:lang w:val="fi-FI" w:eastAsia="en-AU" w:bidi="ar-SA"/>
        </w:rPr>
        <w:t xml:space="preserve"> </w:t>
      </w:r>
      <w:proofErr w:type="spellStart"/>
      <w:r w:rsidRPr="00C16486">
        <w:rPr>
          <w:rFonts w:ascii="Times New Roman" w:eastAsia="Cambria" w:hAnsi="Times New Roman" w:cs="Times New Roman"/>
          <w:sz w:val="24"/>
          <w:szCs w:val="24"/>
          <w:lang w:val="fi-FI" w:eastAsia="en-AU" w:bidi="ar-SA"/>
        </w:rPr>
        <w:t>Berdasarkan</w:t>
      </w:r>
      <w:proofErr w:type="spellEnd"/>
      <w:r w:rsidRPr="00C16486">
        <w:rPr>
          <w:rFonts w:ascii="Times New Roman" w:eastAsia="Cambria" w:hAnsi="Times New Roman" w:cs="Times New Roman"/>
          <w:sz w:val="24"/>
          <w:szCs w:val="24"/>
          <w:lang w:val="fi-FI" w:eastAsia="en-AU" w:bidi="ar-SA"/>
        </w:rPr>
        <w:t xml:space="preserve"> PP </w:t>
      </w:r>
      <w:proofErr w:type="spellStart"/>
      <w:r w:rsidRPr="00C16486">
        <w:rPr>
          <w:rFonts w:ascii="Times New Roman" w:eastAsia="Cambria" w:hAnsi="Times New Roman" w:cs="Times New Roman"/>
          <w:sz w:val="24"/>
          <w:szCs w:val="24"/>
          <w:lang w:val="fi-FI" w:eastAsia="en-AU" w:bidi="ar-SA"/>
        </w:rPr>
        <w:t>Nomor</w:t>
      </w:r>
      <w:proofErr w:type="spellEnd"/>
      <w:r w:rsidRPr="00C16486">
        <w:rPr>
          <w:rFonts w:ascii="Times New Roman" w:eastAsia="Cambria" w:hAnsi="Times New Roman" w:cs="Times New Roman"/>
          <w:sz w:val="24"/>
          <w:szCs w:val="24"/>
          <w:lang w:val="fi-FI" w:eastAsia="en-AU" w:bidi="ar-SA"/>
        </w:rPr>
        <w:t xml:space="preserve"> 56 </w:t>
      </w:r>
      <w:proofErr w:type="spellStart"/>
      <w:r w:rsidRPr="00C16486">
        <w:rPr>
          <w:rFonts w:ascii="Times New Roman" w:eastAsia="Cambria" w:hAnsi="Times New Roman" w:cs="Times New Roman"/>
          <w:sz w:val="24"/>
          <w:szCs w:val="24"/>
          <w:lang w:val="fi-FI" w:eastAsia="en-AU" w:bidi="ar-SA"/>
        </w:rPr>
        <w:t>Tahun</w:t>
      </w:r>
      <w:proofErr w:type="spellEnd"/>
      <w:r w:rsidRPr="00C16486">
        <w:rPr>
          <w:rFonts w:ascii="Times New Roman" w:eastAsia="Cambria" w:hAnsi="Times New Roman" w:cs="Times New Roman"/>
          <w:sz w:val="24"/>
          <w:szCs w:val="24"/>
          <w:lang w:val="fi-FI" w:eastAsia="en-AU" w:bidi="ar-SA"/>
        </w:rPr>
        <w:t xml:space="preserve"> 2021 </w:t>
      </w:r>
      <w:proofErr w:type="spellStart"/>
      <w:r w:rsidRPr="00C16486">
        <w:rPr>
          <w:rFonts w:ascii="Times New Roman" w:eastAsia="Cambria" w:hAnsi="Times New Roman" w:cs="Times New Roman"/>
          <w:sz w:val="24"/>
          <w:szCs w:val="24"/>
          <w:lang w:val="fi-FI" w:eastAsia="en-AU" w:bidi="ar-SA"/>
        </w:rPr>
        <w:t>tentang</w:t>
      </w:r>
      <w:proofErr w:type="spellEnd"/>
      <w:r w:rsidRPr="00C16486">
        <w:rPr>
          <w:rFonts w:ascii="Times New Roman" w:eastAsia="Cambria" w:hAnsi="Times New Roman" w:cs="Times New Roman"/>
          <w:sz w:val="24"/>
          <w:szCs w:val="24"/>
          <w:lang w:val="fi-FI" w:eastAsia="en-AU" w:bidi="ar-SA"/>
        </w:rPr>
        <w:t xml:space="preserve"> </w:t>
      </w:r>
      <w:proofErr w:type="spellStart"/>
      <w:r w:rsidRPr="00C16486">
        <w:rPr>
          <w:rFonts w:ascii="Times New Roman" w:eastAsia="Cambria" w:hAnsi="Times New Roman" w:cs="Times New Roman"/>
          <w:sz w:val="24"/>
          <w:szCs w:val="24"/>
          <w:lang w:val="fi-FI" w:eastAsia="en-AU" w:bidi="ar-SA"/>
        </w:rPr>
        <w:t>Pengelolaan</w:t>
      </w:r>
      <w:proofErr w:type="spellEnd"/>
      <w:r w:rsidRPr="00C16486">
        <w:rPr>
          <w:rFonts w:ascii="Times New Roman" w:eastAsia="Cambria" w:hAnsi="Times New Roman" w:cs="Times New Roman"/>
          <w:sz w:val="24"/>
          <w:szCs w:val="24"/>
          <w:lang w:val="fi-FI" w:eastAsia="en-AU" w:bidi="ar-SA"/>
        </w:rPr>
        <w:t xml:space="preserve"> </w:t>
      </w:r>
      <w:proofErr w:type="spellStart"/>
      <w:r w:rsidRPr="00C16486">
        <w:rPr>
          <w:rFonts w:ascii="Times New Roman" w:eastAsia="Cambria" w:hAnsi="Times New Roman" w:cs="Times New Roman"/>
          <w:sz w:val="24"/>
          <w:szCs w:val="24"/>
          <w:lang w:val="fi-FI" w:eastAsia="en-AU" w:bidi="ar-SA"/>
        </w:rPr>
        <w:t>Royalti</w:t>
      </w:r>
      <w:proofErr w:type="spellEnd"/>
      <w:r w:rsidRPr="00C16486">
        <w:rPr>
          <w:rFonts w:ascii="Times New Roman" w:eastAsia="Cambria" w:hAnsi="Times New Roman" w:cs="Times New Roman"/>
          <w:sz w:val="24"/>
          <w:szCs w:val="24"/>
          <w:lang w:val="fi-FI" w:eastAsia="en-AU" w:bidi="ar-SA"/>
        </w:rPr>
        <w:t xml:space="preserve"> </w:t>
      </w:r>
      <w:proofErr w:type="spellStart"/>
      <w:r w:rsidRPr="00C16486">
        <w:rPr>
          <w:rFonts w:ascii="Times New Roman" w:eastAsia="Cambria" w:hAnsi="Times New Roman" w:cs="Times New Roman"/>
          <w:sz w:val="24"/>
          <w:szCs w:val="24"/>
          <w:lang w:val="fi-FI" w:eastAsia="en-AU" w:bidi="ar-SA"/>
        </w:rPr>
        <w:t>Hak</w:t>
      </w:r>
      <w:proofErr w:type="spellEnd"/>
      <w:r w:rsidRPr="00C16486">
        <w:rPr>
          <w:rFonts w:ascii="Times New Roman" w:eastAsia="Cambria" w:hAnsi="Times New Roman" w:cs="Times New Roman"/>
          <w:sz w:val="24"/>
          <w:szCs w:val="24"/>
          <w:lang w:val="fi-FI" w:eastAsia="en-AU" w:bidi="ar-SA"/>
        </w:rPr>
        <w:t xml:space="preserve"> </w:t>
      </w:r>
      <w:proofErr w:type="spellStart"/>
      <w:r w:rsidRPr="00C16486">
        <w:rPr>
          <w:rFonts w:ascii="Times New Roman" w:eastAsia="Cambria" w:hAnsi="Times New Roman" w:cs="Times New Roman"/>
          <w:sz w:val="24"/>
          <w:szCs w:val="24"/>
          <w:lang w:val="fi-FI" w:eastAsia="en-AU" w:bidi="ar-SA"/>
        </w:rPr>
        <w:t>Cipta</w:t>
      </w:r>
      <w:proofErr w:type="spellEnd"/>
      <w:r w:rsidRPr="00C16486">
        <w:rPr>
          <w:rFonts w:ascii="Times New Roman" w:eastAsia="Cambria" w:hAnsi="Times New Roman" w:cs="Times New Roman"/>
          <w:sz w:val="24"/>
          <w:szCs w:val="24"/>
          <w:lang w:val="fi-FI" w:eastAsia="en-AU" w:bidi="ar-SA"/>
        </w:rPr>
        <w:t xml:space="preserve"> </w:t>
      </w:r>
      <w:proofErr w:type="spellStart"/>
      <w:r w:rsidRPr="00C16486">
        <w:rPr>
          <w:rFonts w:ascii="Times New Roman" w:eastAsia="Cambria" w:hAnsi="Times New Roman" w:cs="Times New Roman"/>
          <w:sz w:val="24"/>
          <w:szCs w:val="24"/>
          <w:lang w:val="fi-FI" w:eastAsia="en-AU" w:bidi="ar-SA"/>
        </w:rPr>
        <w:t>Lagu</w:t>
      </w:r>
      <w:proofErr w:type="spellEnd"/>
      <w:r w:rsidRPr="00C16486">
        <w:rPr>
          <w:rFonts w:ascii="Times New Roman" w:eastAsia="Cambria" w:hAnsi="Times New Roman" w:cs="Times New Roman"/>
          <w:sz w:val="24"/>
          <w:szCs w:val="24"/>
          <w:lang w:val="fi-FI" w:eastAsia="en-AU" w:bidi="ar-SA"/>
        </w:rPr>
        <w:t xml:space="preserve"> </w:t>
      </w:r>
      <w:proofErr w:type="spellStart"/>
      <w:r w:rsidRPr="00C16486">
        <w:rPr>
          <w:rFonts w:ascii="Times New Roman" w:eastAsia="Cambria" w:hAnsi="Times New Roman" w:cs="Times New Roman"/>
          <w:sz w:val="24"/>
          <w:szCs w:val="24"/>
          <w:lang w:val="fi-FI" w:eastAsia="en-AU" w:bidi="ar-SA"/>
        </w:rPr>
        <w:t>dan</w:t>
      </w:r>
      <w:proofErr w:type="spellEnd"/>
      <w:r w:rsidRPr="00C16486">
        <w:rPr>
          <w:rFonts w:ascii="Times New Roman" w:eastAsia="Cambria" w:hAnsi="Times New Roman" w:cs="Times New Roman"/>
          <w:sz w:val="24"/>
          <w:szCs w:val="24"/>
          <w:lang w:val="fi-FI" w:eastAsia="en-AU" w:bidi="ar-SA"/>
        </w:rPr>
        <w:t>/</w:t>
      </w:r>
      <w:proofErr w:type="spellStart"/>
      <w:r w:rsidRPr="00C16486">
        <w:rPr>
          <w:rFonts w:ascii="Times New Roman" w:eastAsia="Cambria" w:hAnsi="Times New Roman" w:cs="Times New Roman"/>
          <w:sz w:val="24"/>
          <w:szCs w:val="24"/>
          <w:lang w:val="fi-FI" w:eastAsia="en-AU" w:bidi="ar-SA"/>
        </w:rPr>
        <w:t>atau</w:t>
      </w:r>
      <w:proofErr w:type="spellEnd"/>
      <w:r w:rsidRPr="00C16486">
        <w:rPr>
          <w:rFonts w:ascii="Times New Roman" w:eastAsia="Cambria" w:hAnsi="Times New Roman" w:cs="Times New Roman"/>
          <w:sz w:val="24"/>
          <w:szCs w:val="24"/>
          <w:lang w:val="fi-FI" w:eastAsia="en-AU" w:bidi="ar-SA"/>
        </w:rPr>
        <w:t xml:space="preserve"> </w:t>
      </w:r>
      <w:proofErr w:type="spellStart"/>
      <w:r w:rsidRPr="00C16486">
        <w:rPr>
          <w:rFonts w:ascii="Times New Roman" w:eastAsia="Cambria" w:hAnsi="Times New Roman" w:cs="Times New Roman"/>
          <w:sz w:val="24"/>
          <w:szCs w:val="24"/>
          <w:lang w:val="fi-FI" w:eastAsia="en-AU" w:bidi="ar-SA"/>
        </w:rPr>
        <w:t>Musik</w:t>
      </w:r>
      <w:proofErr w:type="spellEnd"/>
      <w:r w:rsidRPr="00C16486">
        <w:rPr>
          <w:rFonts w:ascii="Times New Roman" w:eastAsia="Cambria" w:hAnsi="Times New Roman" w:cs="Times New Roman"/>
          <w:sz w:val="24"/>
          <w:szCs w:val="24"/>
          <w:lang w:val="fi-FI" w:eastAsia="en-AU" w:bidi="ar-SA"/>
        </w:rPr>
        <w:t xml:space="preserve">." </w:t>
      </w:r>
      <w:proofErr w:type="spellStart"/>
      <w:r w:rsidRPr="00C16486">
        <w:rPr>
          <w:rFonts w:ascii="Times New Roman" w:eastAsia="Cambria" w:hAnsi="Times New Roman" w:cs="Times New Roman"/>
          <w:i/>
          <w:iCs/>
          <w:sz w:val="24"/>
          <w:szCs w:val="24"/>
          <w:lang w:val="fi-FI" w:eastAsia="en-AU" w:bidi="ar-SA"/>
        </w:rPr>
        <w:t>Padjadjaran</w:t>
      </w:r>
      <w:proofErr w:type="spellEnd"/>
      <w:r w:rsidRPr="00C16486">
        <w:rPr>
          <w:rFonts w:ascii="Times New Roman" w:eastAsia="Cambria" w:hAnsi="Times New Roman" w:cs="Times New Roman"/>
          <w:i/>
          <w:iCs/>
          <w:sz w:val="24"/>
          <w:szCs w:val="24"/>
          <w:lang w:val="fi-FI" w:eastAsia="en-AU" w:bidi="ar-SA"/>
        </w:rPr>
        <w:t xml:space="preserve"> </w:t>
      </w:r>
      <w:proofErr w:type="spellStart"/>
      <w:r w:rsidRPr="00C16486">
        <w:rPr>
          <w:rFonts w:ascii="Times New Roman" w:eastAsia="Cambria" w:hAnsi="Times New Roman" w:cs="Times New Roman"/>
          <w:i/>
          <w:iCs/>
          <w:sz w:val="24"/>
          <w:szCs w:val="24"/>
          <w:lang w:val="fi-FI" w:eastAsia="en-AU" w:bidi="ar-SA"/>
        </w:rPr>
        <w:t>Law</w:t>
      </w:r>
      <w:proofErr w:type="spellEnd"/>
      <w:r w:rsidRPr="00C16486">
        <w:rPr>
          <w:rFonts w:ascii="Times New Roman" w:eastAsia="Cambria" w:hAnsi="Times New Roman" w:cs="Times New Roman"/>
          <w:i/>
          <w:iCs/>
          <w:sz w:val="24"/>
          <w:szCs w:val="24"/>
          <w:lang w:val="fi-FI" w:eastAsia="en-AU" w:bidi="ar-SA"/>
        </w:rPr>
        <w:t xml:space="preserve"> </w:t>
      </w:r>
      <w:proofErr w:type="spellStart"/>
      <w:r w:rsidRPr="00C16486">
        <w:rPr>
          <w:rFonts w:ascii="Times New Roman" w:eastAsia="Cambria" w:hAnsi="Times New Roman" w:cs="Times New Roman"/>
          <w:i/>
          <w:iCs/>
          <w:sz w:val="24"/>
          <w:szCs w:val="24"/>
          <w:lang w:val="fi-FI" w:eastAsia="en-AU" w:bidi="ar-SA"/>
        </w:rPr>
        <w:t>Review</w:t>
      </w:r>
      <w:proofErr w:type="spellEnd"/>
      <w:r w:rsidRPr="00C16486">
        <w:rPr>
          <w:rFonts w:ascii="Times New Roman" w:eastAsia="Cambria" w:hAnsi="Times New Roman" w:cs="Times New Roman"/>
          <w:sz w:val="24"/>
          <w:szCs w:val="24"/>
          <w:lang w:val="fi-FI" w:eastAsia="en-AU" w:bidi="ar-SA"/>
        </w:rPr>
        <w:t xml:space="preserve"> 10, no. 1 (2022): 1–18.</w:t>
      </w:r>
    </w:p>
    <w:p w14:paraId="4819DD97" w14:textId="77777777" w:rsidR="00C16486" w:rsidRPr="00C16486" w:rsidRDefault="00C16486" w:rsidP="00C16486">
      <w:pPr>
        <w:spacing w:before="240" w:after="100" w:line="240" w:lineRule="auto"/>
        <w:ind w:left="720" w:hanging="720"/>
        <w:jc w:val="both"/>
        <w:rPr>
          <w:rFonts w:ascii="Times New Roman" w:eastAsia="Cambria" w:hAnsi="Times New Roman" w:cs="Times New Roman"/>
          <w:sz w:val="24"/>
          <w:szCs w:val="24"/>
          <w:lang w:val="en-AU" w:eastAsia="en-AU" w:bidi="ar-SA"/>
        </w:rPr>
      </w:pPr>
      <w:proofErr w:type="spellStart"/>
      <w:r w:rsidRPr="00C16486">
        <w:rPr>
          <w:rFonts w:ascii="Times New Roman" w:eastAsia="Cambria" w:hAnsi="Times New Roman" w:cs="Times New Roman"/>
          <w:sz w:val="24"/>
          <w:szCs w:val="24"/>
          <w:lang w:val="fi-FI" w:eastAsia="en-AU" w:bidi="ar-SA"/>
        </w:rPr>
        <w:t>Permata</w:t>
      </w:r>
      <w:proofErr w:type="spellEnd"/>
      <w:r w:rsidRPr="00C16486">
        <w:rPr>
          <w:rFonts w:ascii="Times New Roman" w:eastAsia="Cambria" w:hAnsi="Times New Roman" w:cs="Times New Roman"/>
          <w:sz w:val="24"/>
          <w:szCs w:val="24"/>
          <w:lang w:val="fi-FI" w:eastAsia="en-AU" w:bidi="ar-SA"/>
        </w:rPr>
        <w:t xml:space="preserve">, </w:t>
      </w:r>
      <w:proofErr w:type="spellStart"/>
      <w:r w:rsidRPr="00C16486">
        <w:rPr>
          <w:rFonts w:ascii="Times New Roman" w:eastAsia="Cambria" w:hAnsi="Times New Roman" w:cs="Times New Roman"/>
          <w:sz w:val="24"/>
          <w:szCs w:val="24"/>
          <w:lang w:val="fi-FI" w:eastAsia="en-AU" w:bidi="ar-SA"/>
        </w:rPr>
        <w:t>Rika</w:t>
      </w:r>
      <w:proofErr w:type="spellEnd"/>
      <w:r w:rsidRPr="00C16486">
        <w:rPr>
          <w:rFonts w:ascii="Times New Roman" w:eastAsia="Cambria" w:hAnsi="Times New Roman" w:cs="Times New Roman"/>
          <w:sz w:val="24"/>
          <w:szCs w:val="24"/>
          <w:lang w:val="fi-FI" w:eastAsia="en-AU" w:bidi="ar-SA"/>
        </w:rPr>
        <w:t xml:space="preserve"> </w:t>
      </w:r>
      <w:proofErr w:type="spellStart"/>
      <w:r w:rsidRPr="00C16486">
        <w:rPr>
          <w:rFonts w:ascii="Times New Roman" w:eastAsia="Cambria" w:hAnsi="Times New Roman" w:cs="Times New Roman"/>
          <w:sz w:val="24"/>
          <w:szCs w:val="24"/>
          <w:lang w:val="fi-FI" w:eastAsia="en-AU" w:bidi="ar-SA"/>
        </w:rPr>
        <w:t>Ratna</w:t>
      </w:r>
      <w:proofErr w:type="spellEnd"/>
      <w:r w:rsidRPr="00C16486">
        <w:rPr>
          <w:rFonts w:ascii="Times New Roman" w:eastAsia="Cambria" w:hAnsi="Times New Roman" w:cs="Times New Roman"/>
          <w:sz w:val="24"/>
          <w:szCs w:val="24"/>
          <w:lang w:val="fi-FI" w:eastAsia="en-AU" w:bidi="ar-SA"/>
        </w:rPr>
        <w:t>. "</w:t>
      </w:r>
      <w:proofErr w:type="spellStart"/>
      <w:r w:rsidRPr="00C16486">
        <w:rPr>
          <w:rFonts w:ascii="Times New Roman" w:eastAsia="Cambria" w:hAnsi="Times New Roman" w:cs="Times New Roman"/>
          <w:sz w:val="24"/>
          <w:szCs w:val="24"/>
          <w:lang w:val="fi-FI" w:eastAsia="en-AU" w:bidi="ar-SA"/>
        </w:rPr>
        <w:t>Efektivitas</w:t>
      </w:r>
      <w:proofErr w:type="spellEnd"/>
      <w:r w:rsidRPr="00C16486">
        <w:rPr>
          <w:rFonts w:ascii="Times New Roman" w:eastAsia="Cambria" w:hAnsi="Times New Roman" w:cs="Times New Roman"/>
          <w:sz w:val="24"/>
          <w:szCs w:val="24"/>
          <w:lang w:val="fi-FI" w:eastAsia="en-AU" w:bidi="ar-SA"/>
        </w:rPr>
        <w:t xml:space="preserve"> </w:t>
      </w:r>
      <w:proofErr w:type="spellStart"/>
      <w:r w:rsidRPr="00C16486">
        <w:rPr>
          <w:rFonts w:ascii="Times New Roman" w:eastAsia="Cambria" w:hAnsi="Times New Roman" w:cs="Times New Roman"/>
          <w:sz w:val="24"/>
          <w:szCs w:val="24"/>
          <w:lang w:val="fi-FI" w:eastAsia="en-AU" w:bidi="ar-SA"/>
        </w:rPr>
        <w:t>Lembaga</w:t>
      </w:r>
      <w:proofErr w:type="spellEnd"/>
      <w:r w:rsidRPr="00C16486">
        <w:rPr>
          <w:rFonts w:ascii="Times New Roman" w:eastAsia="Cambria" w:hAnsi="Times New Roman" w:cs="Times New Roman"/>
          <w:sz w:val="24"/>
          <w:szCs w:val="24"/>
          <w:lang w:val="fi-FI" w:eastAsia="en-AU" w:bidi="ar-SA"/>
        </w:rPr>
        <w:t xml:space="preserve"> </w:t>
      </w:r>
      <w:proofErr w:type="spellStart"/>
      <w:r w:rsidRPr="00C16486">
        <w:rPr>
          <w:rFonts w:ascii="Times New Roman" w:eastAsia="Cambria" w:hAnsi="Times New Roman" w:cs="Times New Roman"/>
          <w:sz w:val="24"/>
          <w:szCs w:val="24"/>
          <w:lang w:val="fi-FI" w:eastAsia="en-AU" w:bidi="ar-SA"/>
        </w:rPr>
        <w:t>Manajemen</w:t>
      </w:r>
      <w:proofErr w:type="spellEnd"/>
      <w:r w:rsidRPr="00C16486">
        <w:rPr>
          <w:rFonts w:ascii="Times New Roman" w:eastAsia="Cambria" w:hAnsi="Times New Roman" w:cs="Times New Roman"/>
          <w:sz w:val="24"/>
          <w:szCs w:val="24"/>
          <w:lang w:val="fi-FI" w:eastAsia="en-AU" w:bidi="ar-SA"/>
        </w:rPr>
        <w:t xml:space="preserve"> </w:t>
      </w:r>
      <w:proofErr w:type="spellStart"/>
      <w:r w:rsidRPr="00C16486">
        <w:rPr>
          <w:rFonts w:ascii="Times New Roman" w:eastAsia="Cambria" w:hAnsi="Times New Roman" w:cs="Times New Roman"/>
          <w:sz w:val="24"/>
          <w:szCs w:val="24"/>
          <w:lang w:val="fi-FI" w:eastAsia="en-AU" w:bidi="ar-SA"/>
        </w:rPr>
        <w:t>Kolektif</w:t>
      </w:r>
      <w:proofErr w:type="spellEnd"/>
      <w:r w:rsidRPr="00C16486">
        <w:rPr>
          <w:rFonts w:ascii="Times New Roman" w:eastAsia="Cambria" w:hAnsi="Times New Roman" w:cs="Times New Roman"/>
          <w:sz w:val="24"/>
          <w:szCs w:val="24"/>
          <w:lang w:val="fi-FI" w:eastAsia="en-AU" w:bidi="ar-SA"/>
        </w:rPr>
        <w:t xml:space="preserve"> </w:t>
      </w:r>
      <w:proofErr w:type="spellStart"/>
      <w:r w:rsidRPr="00C16486">
        <w:rPr>
          <w:rFonts w:ascii="Times New Roman" w:eastAsia="Cambria" w:hAnsi="Times New Roman" w:cs="Times New Roman"/>
          <w:sz w:val="24"/>
          <w:szCs w:val="24"/>
          <w:lang w:val="fi-FI" w:eastAsia="en-AU" w:bidi="ar-SA"/>
        </w:rPr>
        <w:t>dalam</w:t>
      </w:r>
      <w:proofErr w:type="spellEnd"/>
      <w:r w:rsidRPr="00C16486">
        <w:rPr>
          <w:rFonts w:ascii="Times New Roman" w:eastAsia="Cambria" w:hAnsi="Times New Roman" w:cs="Times New Roman"/>
          <w:sz w:val="24"/>
          <w:szCs w:val="24"/>
          <w:lang w:val="fi-FI" w:eastAsia="en-AU" w:bidi="ar-SA"/>
        </w:rPr>
        <w:t xml:space="preserve"> </w:t>
      </w:r>
      <w:proofErr w:type="spellStart"/>
      <w:r w:rsidRPr="00C16486">
        <w:rPr>
          <w:rFonts w:ascii="Times New Roman" w:eastAsia="Cambria" w:hAnsi="Times New Roman" w:cs="Times New Roman"/>
          <w:sz w:val="24"/>
          <w:szCs w:val="24"/>
          <w:lang w:val="fi-FI" w:eastAsia="en-AU" w:bidi="ar-SA"/>
        </w:rPr>
        <w:t>Pengelolaan</w:t>
      </w:r>
      <w:proofErr w:type="spellEnd"/>
      <w:r w:rsidRPr="00C16486">
        <w:rPr>
          <w:rFonts w:ascii="Times New Roman" w:eastAsia="Cambria" w:hAnsi="Times New Roman" w:cs="Times New Roman"/>
          <w:sz w:val="24"/>
          <w:szCs w:val="24"/>
          <w:lang w:val="fi-FI" w:eastAsia="en-AU" w:bidi="ar-SA"/>
        </w:rPr>
        <w:t xml:space="preserve"> </w:t>
      </w:r>
      <w:proofErr w:type="spellStart"/>
      <w:r w:rsidRPr="00C16486">
        <w:rPr>
          <w:rFonts w:ascii="Times New Roman" w:eastAsia="Cambria" w:hAnsi="Times New Roman" w:cs="Times New Roman"/>
          <w:sz w:val="24"/>
          <w:szCs w:val="24"/>
          <w:lang w:val="fi-FI" w:eastAsia="en-AU" w:bidi="ar-SA"/>
        </w:rPr>
        <w:t>Royalti</w:t>
      </w:r>
      <w:proofErr w:type="spellEnd"/>
      <w:r w:rsidRPr="00C16486">
        <w:rPr>
          <w:rFonts w:ascii="Times New Roman" w:eastAsia="Cambria" w:hAnsi="Times New Roman" w:cs="Times New Roman"/>
          <w:sz w:val="24"/>
          <w:szCs w:val="24"/>
          <w:lang w:val="fi-FI" w:eastAsia="en-AU" w:bidi="ar-SA"/>
        </w:rPr>
        <w:t xml:space="preserve"> </w:t>
      </w:r>
      <w:proofErr w:type="spellStart"/>
      <w:r w:rsidRPr="00C16486">
        <w:rPr>
          <w:rFonts w:ascii="Times New Roman" w:eastAsia="Cambria" w:hAnsi="Times New Roman" w:cs="Times New Roman"/>
          <w:sz w:val="24"/>
          <w:szCs w:val="24"/>
          <w:lang w:val="fi-FI" w:eastAsia="en-AU" w:bidi="ar-SA"/>
        </w:rPr>
        <w:t>Musik</w:t>
      </w:r>
      <w:proofErr w:type="spellEnd"/>
      <w:r w:rsidRPr="00C16486">
        <w:rPr>
          <w:rFonts w:ascii="Times New Roman" w:eastAsia="Cambria" w:hAnsi="Times New Roman" w:cs="Times New Roman"/>
          <w:sz w:val="24"/>
          <w:szCs w:val="24"/>
          <w:lang w:val="fi-FI" w:eastAsia="en-AU" w:bidi="ar-SA"/>
        </w:rPr>
        <w:t xml:space="preserve"> di Indonesia." </w:t>
      </w:r>
      <w:proofErr w:type="spellStart"/>
      <w:r w:rsidRPr="00C16486">
        <w:rPr>
          <w:rFonts w:ascii="Times New Roman" w:eastAsia="Cambria" w:hAnsi="Times New Roman" w:cs="Times New Roman"/>
          <w:i/>
          <w:iCs/>
          <w:sz w:val="24"/>
          <w:szCs w:val="24"/>
          <w:lang w:val="en-AU" w:eastAsia="en-AU" w:bidi="ar-SA"/>
        </w:rPr>
        <w:t>Jurnal</w:t>
      </w:r>
      <w:proofErr w:type="spellEnd"/>
      <w:r w:rsidRPr="00C16486">
        <w:rPr>
          <w:rFonts w:ascii="Times New Roman" w:eastAsia="Cambria" w:hAnsi="Times New Roman" w:cs="Times New Roman"/>
          <w:i/>
          <w:iCs/>
          <w:sz w:val="24"/>
          <w:szCs w:val="24"/>
          <w:lang w:val="en-AU" w:eastAsia="en-AU" w:bidi="ar-SA"/>
        </w:rPr>
        <w:t xml:space="preserve"> </w:t>
      </w:r>
      <w:proofErr w:type="spellStart"/>
      <w:r w:rsidRPr="00C16486">
        <w:rPr>
          <w:rFonts w:ascii="Times New Roman" w:eastAsia="Cambria" w:hAnsi="Times New Roman" w:cs="Times New Roman"/>
          <w:i/>
          <w:iCs/>
          <w:sz w:val="24"/>
          <w:szCs w:val="24"/>
          <w:lang w:val="en-AU" w:eastAsia="en-AU" w:bidi="ar-SA"/>
        </w:rPr>
        <w:t>RechtsVinding</w:t>
      </w:r>
      <w:proofErr w:type="spellEnd"/>
      <w:r w:rsidRPr="00C16486">
        <w:rPr>
          <w:rFonts w:ascii="Times New Roman" w:eastAsia="Cambria" w:hAnsi="Times New Roman" w:cs="Times New Roman"/>
          <w:sz w:val="24"/>
          <w:szCs w:val="24"/>
          <w:lang w:val="en-AU" w:eastAsia="en-AU" w:bidi="ar-SA"/>
        </w:rPr>
        <w:t xml:space="preserve"> (2021).</w:t>
      </w:r>
    </w:p>
    <w:p w14:paraId="2356BCCE" w14:textId="77777777" w:rsidR="00C16486" w:rsidRPr="00C16486" w:rsidRDefault="00C16486" w:rsidP="00C16486">
      <w:pPr>
        <w:spacing w:before="240" w:after="100" w:line="240" w:lineRule="auto"/>
        <w:ind w:left="720" w:hanging="720"/>
        <w:jc w:val="both"/>
        <w:rPr>
          <w:rFonts w:ascii="Times New Roman" w:eastAsia="Cambria" w:hAnsi="Times New Roman" w:cs="Times New Roman"/>
          <w:sz w:val="24"/>
          <w:szCs w:val="24"/>
          <w:lang w:val="en-AU" w:eastAsia="en-AU" w:bidi="ar-SA"/>
        </w:rPr>
      </w:pPr>
      <w:proofErr w:type="spellStart"/>
      <w:r w:rsidRPr="00C16486">
        <w:rPr>
          <w:rFonts w:ascii="Times New Roman" w:eastAsia="Cambria" w:hAnsi="Times New Roman" w:cs="Times New Roman"/>
          <w:sz w:val="24"/>
          <w:szCs w:val="24"/>
          <w:lang w:val="en-AU" w:eastAsia="en-AU" w:bidi="ar-SA"/>
        </w:rPr>
        <w:t>Pinem</w:t>
      </w:r>
      <w:proofErr w:type="spellEnd"/>
      <w:r w:rsidRPr="00C16486">
        <w:rPr>
          <w:rFonts w:ascii="Times New Roman" w:eastAsia="Cambria" w:hAnsi="Times New Roman" w:cs="Times New Roman"/>
          <w:sz w:val="24"/>
          <w:szCs w:val="24"/>
          <w:lang w:val="en-AU" w:eastAsia="en-AU" w:bidi="ar-SA"/>
        </w:rPr>
        <w:t xml:space="preserve">, Rico Frans Jhonatan, and Eka Ratnawati. "Restorative Justice </w:t>
      </w:r>
      <w:proofErr w:type="spellStart"/>
      <w:r w:rsidRPr="00C16486">
        <w:rPr>
          <w:rFonts w:ascii="Times New Roman" w:eastAsia="Cambria" w:hAnsi="Times New Roman" w:cs="Times New Roman"/>
          <w:sz w:val="24"/>
          <w:szCs w:val="24"/>
          <w:lang w:val="en-AU" w:eastAsia="en-AU" w:bidi="ar-SA"/>
        </w:rPr>
        <w:t>dalam</w:t>
      </w:r>
      <w:proofErr w:type="spellEnd"/>
      <w:r w:rsidRPr="00C16486">
        <w:rPr>
          <w:rFonts w:ascii="Times New Roman" w:eastAsia="Cambria" w:hAnsi="Times New Roman" w:cs="Times New Roman"/>
          <w:sz w:val="24"/>
          <w:szCs w:val="24"/>
          <w:lang w:val="en-AU" w:eastAsia="en-AU" w:bidi="ar-SA"/>
        </w:rPr>
        <w:t xml:space="preserve"> </w:t>
      </w:r>
      <w:proofErr w:type="spellStart"/>
      <w:r w:rsidRPr="00C16486">
        <w:rPr>
          <w:rFonts w:ascii="Times New Roman" w:eastAsia="Cambria" w:hAnsi="Times New Roman" w:cs="Times New Roman"/>
          <w:sz w:val="24"/>
          <w:szCs w:val="24"/>
          <w:lang w:val="en-AU" w:eastAsia="en-AU" w:bidi="ar-SA"/>
        </w:rPr>
        <w:t>Tindak</w:t>
      </w:r>
      <w:proofErr w:type="spellEnd"/>
      <w:r w:rsidRPr="00C16486">
        <w:rPr>
          <w:rFonts w:ascii="Times New Roman" w:eastAsia="Cambria" w:hAnsi="Times New Roman" w:cs="Times New Roman"/>
          <w:sz w:val="24"/>
          <w:szCs w:val="24"/>
          <w:lang w:val="en-AU" w:eastAsia="en-AU" w:bidi="ar-SA"/>
        </w:rPr>
        <w:t xml:space="preserve"> </w:t>
      </w:r>
      <w:proofErr w:type="spellStart"/>
      <w:r w:rsidRPr="00C16486">
        <w:rPr>
          <w:rFonts w:ascii="Times New Roman" w:eastAsia="Cambria" w:hAnsi="Times New Roman" w:cs="Times New Roman"/>
          <w:sz w:val="24"/>
          <w:szCs w:val="24"/>
          <w:lang w:val="en-AU" w:eastAsia="en-AU" w:bidi="ar-SA"/>
        </w:rPr>
        <w:t>Pidana</w:t>
      </w:r>
      <w:proofErr w:type="spellEnd"/>
      <w:r w:rsidRPr="00C16486">
        <w:rPr>
          <w:rFonts w:ascii="Times New Roman" w:eastAsia="Cambria" w:hAnsi="Times New Roman" w:cs="Times New Roman"/>
          <w:sz w:val="24"/>
          <w:szCs w:val="24"/>
          <w:lang w:val="en-AU" w:eastAsia="en-AU" w:bidi="ar-SA"/>
        </w:rPr>
        <w:t xml:space="preserve"> Merek (</w:t>
      </w:r>
      <w:proofErr w:type="spellStart"/>
      <w:r w:rsidRPr="00C16486">
        <w:rPr>
          <w:rFonts w:ascii="Times New Roman" w:eastAsia="Cambria" w:hAnsi="Times New Roman" w:cs="Times New Roman"/>
          <w:sz w:val="24"/>
          <w:szCs w:val="24"/>
          <w:lang w:val="en-AU" w:eastAsia="en-AU" w:bidi="ar-SA"/>
        </w:rPr>
        <w:t>Analisis</w:t>
      </w:r>
      <w:proofErr w:type="spellEnd"/>
      <w:r w:rsidRPr="00C16486">
        <w:rPr>
          <w:rFonts w:ascii="Times New Roman" w:eastAsia="Cambria" w:hAnsi="Times New Roman" w:cs="Times New Roman"/>
          <w:sz w:val="24"/>
          <w:szCs w:val="24"/>
          <w:lang w:val="en-AU" w:eastAsia="en-AU" w:bidi="ar-SA"/>
        </w:rPr>
        <w:t xml:space="preserve"> Teori </w:t>
      </w:r>
      <w:proofErr w:type="spellStart"/>
      <w:r w:rsidRPr="00C16486">
        <w:rPr>
          <w:rFonts w:ascii="Times New Roman" w:eastAsia="Cambria" w:hAnsi="Times New Roman" w:cs="Times New Roman"/>
          <w:sz w:val="24"/>
          <w:szCs w:val="24"/>
          <w:lang w:val="en-AU" w:eastAsia="en-AU" w:bidi="ar-SA"/>
        </w:rPr>
        <w:t>Penegakan</w:t>
      </w:r>
      <w:proofErr w:type="spellEnd"/>
      <w:r w:rsidRPr="00C16486">
        <w:rPr>
          <w:rFonts w:ascii="Times New Roman" w:eastAsia="Cambria" w:hAnsi="Times New Roman" w:cs="Times New Roman"/>
          <w:sz w:val="24"/>
          <w:szCs w:val="24"/>
          <w:lang w:val="en-AU" w:eastAsia="en-AU" w:bidi="ar-SA"/>
        </w:rPr>
        <w:t xml:space="preserve"> Hukum)." </w:t>
      </w:r>
      <w:proofErr w:type="spellStart"/>
      <w:r w:rsidRPr="00C16486">
        <w:rPr>
          <w:rFonts w:ascii="Times New Roman" w:eastAsia="Cambria" w:hAnsi="Times New Roman" w:cs="Times New Roman"/>
          <w:i/>
          <w:iCs/>
          <w:sz w:val="24"/>
          <w:szCs w:val="24"/>
          <w:lang w:val="en-AU" w:eastAsia="en-AU" w:bidi="ar-SA"/>
        </w:rPr>
        <w:t>Ensiklopedia</w:t>
      </w:r>
      <w:proofErr w:type="spellEnd"/>
      <w:r w:rsidRPr="00C16486">
        <w:rPr>
          <w:rFonts w:ascii="Times New Roman" w:eastAsia="Cambria" w:hAnsi="Times New Roman" w:cs="Times New Roman"/>
          <w:i/>
          <w:iCs/>
          <w:sz w:val="24"/>
          <w:szCs w:val="24"/>
          <w:lang w:val="en-AU" w:eastAsia="en-AU" w:bidi="ar-SA"/>
        </w:rPr>
        <w:t xml:space="preserve"> of Journal</w:t>
      </w:r>
      <w:r w:rsidRPr="00C16486">
        <w:rPr>
          <w:rFonts w:ascii="Times New Roman" w:eastAsia="Cambria" w:hAnsi="Times New Roman" w:cs="Times New Roman"/>
          <w:sz w:val="24"/>
          <w:szCs w:val="24"/>
          <w:lang w:val="en-AU" w:eastAsia="en-AU" w:bidi="ar-SA"/>
        </w:rPr>
        <w:t xml:space="preserve"> 6, no. 2 (2024).</w:t>
      </w:r>
    </w:p>
    <w:p w14:paraId="5195E13C" w14:textId="77777777" w:rsidR="00C16486" w:rsidRPr="00C16486" w:rsidRDefault="00C16486" w:rsidP="00C16486">
      <w:pPr>
        <w:spacing w:before="240" w:after="100" w:line="240" w:lineRule="auto"/>
        <w:ind w:left="720" w:hanging="720"/>
        <w:jc w:val="both"/>
        <w:rPr>
          <w:rFonts w:ascii="Times New Roman" w:eastAsia="Cambria" w:hAnsi="Times New Roman" w:cs="Times New Roman"/>
          <w:sz w:val="24"/>
          <w:szCs w:val="24"/>
          <w:lang w:val="en-AU" w:eastAsia="en-AU" w:bidi="ar-SA"/>
        </w:rPr>
      </w:pPr>
      <w:proofErr w:type="spellStart"/>
      <w:r w:rsidRPr="00C16486">
        <w:rPr>
          <w:rFonts w:ascii="Times New Roman" w:eastAsia="Cambria" w:hAnsi="Times New Roman" w:cs="Times New Roman"/>
          <w:sz w:val="24"/>
          <w:szCs w:val="24"/>
          <w:lang w:val="en-AU" w:eastAsia="en-AU" w:bidi="ar-SA"/>
        </w:rPr>
        <w:t>Praja</w:t>
      </w:r>
      <w:proofErr w:type="spellEnd"/>
      <w:r w:rsidRPr="00C16486">
        <w:rPr>
          <w:rFonts w:ascii="Times New Roman" w:eastAsia="Cambria" w:hAnsi="Times New Roman" w:cs="Times New Roman"/>
          <w:sz w:val="24"/>
          <w:szCs w:val="24"/>
          <w:lang w:val="en-AU" w:eastAsia="en-AU" w:bidi="ar-SA"/>
        </w:rPr>
        <w:t xml:space="preserve">, Chrisna Bagus Edhita, Budi Agus </w:t>
      </w:r>
      <w:proofErr w:type="spellStart"/>
      <w:r w:rsidRPr="00C16486">
        <w:rPr>
          <w:rFonts w:ascii="Times New Roman" w:eastAsia="Cambria" w:hAnsi="Times New Roman" w:cs="Times New Roman"/>
          <w:sz w:val="24"/>
          <w:szCs w:val="24"/>
          <w:lang w:val="en-AU" w:eastAsia="en-AU" w:bidi="ar-SA"/>
        </w:rPr>
        <w:t>Riswandi</w:t>
      </w:r>
      <w:proofErr w:type="spellEnd"/>
      <w:r w:rsidRPr="00C16486">
        <w:rPr>
          <w:rFonts w:ascii="Times New Roman" w:eastAsia="Cambria" w:hAnsi="Times New Roman" w:cs="Times New Roman"/>
          <w:sz w:val="24"/>
          <w:szCs w:val="24"/>
          <w:lang w:val="en-AU" w:eastAsia="en-AU" w:bidi="ar-SA"/>
        </w:rPr>
        <w:t xml:space="preserve">, and </w:t>
      </w:r>
      <w:proofErr w:type="spellStart"/>
      <w:r w:rsidRPr="00C16486">
        <w:rPr>
          <w:rFonts w:ascii="Times New Roman" w:eastAsia="Cambria" w:hAnsi="Times New Roman" w:cs="Times New Roman"/>
          <w:sz w:val="24"/>
          <w:szCs w:val="24"/>
          <w:lang w:val="en-AU" w:eastAsia="en-AU" w:bidi="ar-SA"/>
        </w:rPr>
        <w:t>Khudzaifah</w:t>
      </w:r>
      <w:proofErr w:type="spellEnd"/>
      <w:r w:rsidRPr="00C16486">
        <w:rPr>
          <w:rFonts w:ascii="Times New Roman" w:eastAsia="Cambria" w:hAnsi="Times New Roman" w:cs="Times New Roman"/>
          <w:sz w:val="24"/>
          <w:szCs w:val="24"/>
          <w:lang w:val="en-AU" w:eastAsia="en-AU" w:bidi="ar-SA"/>
        </w:rPr>
        <w:t xml:space="preserve"> Dimyati. "</w:t>
      </w:r>
      <w:proofErr w:type="spellStart"/>
      <w:r w:rsidRPr="00C16486">
        <w:rPr>
          <w:rFonts w:ascii="Times New Roman" w:eastAsia="Cambria" w:hAnsi="Times New Roman" w:cs="Times New Roman"/>
          <w:sz w:val="24"/>
          <w:szCs w:val="24"/>
          <w:lang w:val="en-AU" w:eastAsia="en-AU" w:bidi="ar-SA"/>
        </w:rPr>
        <w:t>Mediasi</w:t>
      </w:r>
      <w:proofErr w:type="spellEnd"/>
      <w:r w:rsidRPr="00C16486">
        <w:rPr>
          <w:rFonts w:ascii="Times New Roman" w:eastAsia="Cambria" w:hAnsi="Times New Roman" w:cs="Times New Roman"/>
          <w:sz w:val="24"/>
          <w:szCs w:val="24"/>
          <w:lang w:val="en-AU" w:eastAsia="en-AU" w:bidi="ar-SA"/>
        </w:rPr>
        <w:t xml:space="preserve"> </w:t>
      </w:r>
      <w:proofErr w:type="spellStart"/>
      <w:r w:rsidRPr="00C16486">
        <w:rPr>
          <w:rFonts w:ascii="Times New Roman" w:eastAsia="Cambria" w:hAnsi="Times New Roman" w:cs="Times New Roman"/>
          <w:sz w:val="24"/>
          <w:szCs w:val="24"/>
          <w:lang w:val="en-AU" w:eastAsia="en-AU" w:bidi="ar-SA"/>
        </w:rPr>
        <w:t>sebagai</w:t>
      </w:r>
      <w:proofErr w:type="spellEnd"/>
      <w:r w:rsidRPr="00C16486">
        <w:rPr>
          <w:rFonts w:ascii="Times New Roman" w:eastAsia="Cambria" w:hAnsi="Times New Roman" w:cs="Times New Roman"/>
          <w:sz w:val="24"/>
          <w:szCs w:val="24"/>
          <w:lang w:val="en-AU" w:eastAsia="en-AU" w:bidi="ar-SA"/>
        </w:rPr>
        <w:t xml:space="preserve"> </w:t>
      </w:r>
      <w:proofErr w:type="spellStart"/>
      <w:r w:rsidRPr="00C16486">
        <w:rPr>
          <w:rFonts w:ascii="Times New Roman" w:eastAsia="Cambria" w:hAnsi="Times New Roman" w:cs="Times New Roman"/>
          <w:sz w:val="24"/>
          <w:szCs w:val="24"/>
          <w:lang w:val="en-AU" w:eastAsia="en-AU" w:bidi="ar-SA"/>
        </w:rPr>
        <w:t>Alternatif</w:t>
      </w:r>
      <w:proofErr w:type="spellEnd"/>
      <w:r w:rsidRPr="00C16486">
        <w:rPr>
          <w:rFonts w:ascii="Times New Roman" w:eastAsia="Cambria" w:hAnsi="Times New Roman" w:cs="Times New Roman"/>
          <w:sz w:val="24"/>
          <w:szCs w:val="24"/>
          <w:lang w:val="en-AU" w:eastAsia="en-AU" w:bidi="ar-SA"/>
        </w:rPr>
        <w:t xml:space="preserve"> </w:t>
      </w:r>
      <w:proofErr w:type="spellStart"/>
      <w:r w:rsidRPr="00C16486">
        <w:rPr>
          <w:rFonts w:ascii="Times New Roman" w:eastAsia="Cambria" w:hAnsi="Times New Roman" w:cs="Times New Roman"/>
          <w:sz w:val="24"/>
          <w:szCs w:val="24"/>
          <w:lang w:val="en-AU" w:eastAsia="en-AU" w:bidi="ar-SA"/>
        </w:rPr>
        <w:t>Penyelesaian</w:t>
      </w:r>
      <w:proofErr w:type="spellEnd"/>
      <w:r w:rsidRPr="00C16486">
        <w:rPr>
          <w:rFonts w:ascii="Times New Roman" w:eastAsia="Cambria" w:hAnsi="Times New Roman" w:cs="Times New Roman"/>
          <w:sz w:val="24"/>
          <w:szCs w:val="24"/>
          <w:lang w:val="en-AU" w:eastAsia="en-AU" w:bidi="ar-SA"/>
        </w:rPr>
        <w:t xml:space="preserve"> </w:t>
      </w:r>
      <w:proofErr w:type="spellStart"/>
      <w:r w:rsidRPr="00C16486">
        <w:rPr>
          <w:rFonts w:ascii="Times New Roman" w:eastAsia="Cambria" w:hAnsi="Times New Roman" w:cs="Times New Roman"/>
          <w:sz w:val="24"/>
          <w:szCs w:val="24"/>
          <w:lang w:val="en-AU" w:eastAsia="en-AU" w:bidi="ar-SA"/>
        </w:rPr>
        <w:t>Sengketa</w:t>
      </w:r>
      <w:proofErr w:type="spellEnd"/>
      <w:r w:rsidRPr="00C16486">
        <w:rPr>
          <w:rFonts w:ascii="Times New Roman" w:eastAsia="Cambria" w:hAnsi="Times New Roman" w:cs="Times New Roman"/>
          <w:sz w:val="24"/>
          <w:szCs w:val="24"/>
          <w:lang w:val="en-AU" w:eastAsia="en-AU" w:bidi="ar-SA"/>
        </w:rPr>
        <w:t xml:space="preserve"> Hak Cipta </w:t>
      </w:r>
      <w:proofErr w:type="spellStart"/>
      <w:r w:rsidRPr="00C16486">
        <w:rPr>
          <w:rFonts w:ascii="Times New Roman" w:eastAsia="Cambria" w:hAnsi="Times New Roman" w:cs="Times New Roman"/>
          <w:sz w:val="24"/>
          <w:szCs w:val="24"/>
          <w:lang w:val="en-AU" w:eastAsia="en-AU" w:bidi="ar-SA"/>
        </w:rPr>
        <w:t>Buku</w:t>
      </w:r>
      <w:proofErr w:type="spellEnd"/>
      <w:r w:rsidRPr="00C16486">
        <w:rPr>
          <w:rFonts w:ascii="Times New Roman" w:eastAsia="Cambria" w:hAnsi="Times New Roman" w:cs="Times New Roman"/>
          <w:sz w:val="24"/>
          <w:szCs w:val="24"/>
          <w:lang w:val="en-AU" w:eastAsia="en-AU" w:bidi="ar-SA"/>
        </w:rPr>
        <w:t xml:space="preserve"> Elektronik </w:t>
      </w:r>
      <w:proofErr w:type="spellStart"/>
      <w:r w:rsidRPr="00C16486">
        <w:rPr>
          <w:rFonts w:ascii="Times New Roman" w:eastAsia="Cambria" w:hAnsi="Times New Roman" w:cs="Times New Roman"/>
          <w:sz w:val="24"/>
          <w:szCs w:val="24"/>
          <w:lang w:val="en-AU" w:eastAsia="en-AU" w:bidi="ar-SA"/>
        </w:rPr>
        <w:t>Kekayaan</w:t>
      </w:r>
      <w:proofErr w:type="spellEnd"/>
      <w:r w:rsidRPr="00C16486">
        <w:rPr>
          <w:rFonts w:ascii="Times New Roman" w:eastAsia="Cambria" w:hAnsi="Times New Roman" w:cs="Times New Roman"/>
          <w:sz w:val="24"/>
          <w:szCs w:val="24"/>
          <w:lang w:val="en-AU" w:eastAsia="en-AU" w:bidi="ar-SA"/>
        </w:rPr>
        <w:t xml:space="preserve"> </w:t>
      </w:r>
      <w:proofErr w:type="spellStart"/>
      <w:r w:rsidRPr="00C16486">
        <w:rPr>
          <w:rFonts w:ascii="Times New Roman" w:eastAsia="Cambria" w:hAnsi="Times New Roman" w:cs="Times New Roman"/>
          <w:sz w:val="24"/>
          <w:szCs w:val="24"/>
          <w:lang w:val="en-AU" w:eastAsia="en-AU" w:bidi="ar-SA"/>
        </w:rPr>
        <w:t>Intelektual</w:t>
      </w:r>
      <w:proofErr w:type="spellEnd"/>
      <w:r w:rsidRPr="00C16486">
        <w:rPr>
          <w:rFonts w:ascii="Times New Roman" w:eastAsia="Cambria" w:hAnsi="Times New Roman" w:cs="Times New Roman"/>
          <w:sz w:val="24"/>
          <w:szCs w:val="24"/>
          <w:lang w:val="en-AU" w:eastAsia="en-AU" w:bidi="ar-SA"/>
        </w:rPr>
        <w:t xml:space="preserve"> di Indonesia." </w:t>
      </w:r>
      <w:proofErr w:type="spellStart"/>
      <w:r w:rsidRPr="00C16486">
        <w:rPr>
          <w:rFonts w:ascii="Times New Roman" w:eastAsia="Cambria" w:hAnsi="Times New Roman" w:cs="Times New Roman"/>
          <w:i/>
          <w:iCs/>
          <w:sz w:val="24"/>
          <w:szCs w:val="24"/>
          <w:lang w:val="en-AU" w:eastAsia="en-AU" w:bidi="ar-SA"/>
        </w:rPr>
        <w:t>Jurnal</w:t>
      </w:r>
      <w:proofErr w:type="spellEnd"/>
      <w:r w:rsidRPr="00C16486">
        <w:rPr>
          <w:rFonts w:ascii="Times New Roman" w:eastAsia="Cambria" w:hAnsi="Times New Roman" w:cs="Times New Roman"/>
          <w:i/>
          <w:iCs/>
          <w:sz w:val="24"/>
          <w:szCs w:val="24"/>
          <w:lang w:val="en-AU" w:eastAsia="en-AU" w:bidi="ar-SA"/>
        </w:rPr>
        <w:t xml:space="preserve"> Hukum</w:t>
      </w:r>
      <w:r w:rsidRPr="00C16486">
        <w:rPr>
          <w:rFonts w:ascii="Times New Roman" w:eastAsia="Cambria" w:hAnsi="Times New Roman" w:cs="Times New Roman"/>
          <w:sz w:val="24"/>
          <w:szCs w:val="24"/>
          <w:lang w:val="en-AU" w:eastAsia="en-AU" w:bidi="ar-SA"/>
        </w:rPr>
        <w:t xml:space="preserve"> 6, no. 1 (2023): 141–57.</w:t>
      </w:r>
    </w:p>
    <w:p w14:paraId="7DEE8FB0" w14:textId="77777777" w:rsidR="00C16486" w:rsidRPr="00C16486" w:rsidRDefault="00C16486" w:rsidP="00C16486">
      <w:pPr>
        <w:spacing w:before="240" w:after="100" w:line="240" w:lineRule="auto"/>
        <w:ind w:left="720" w:hanging="720"/>
        <w:jc w:val="both"/>
        <w:rPr>
          <w:rFonts w:ascii="Times New Roman" w:eastAsia="Cambria" w:hAnsi="Times New Roman" w:cs="Times New Roman"/>
          <w:sz w:val="24"/>
          <w:szCs w:val="24"/>
          <w:lang w:val="en-AU" w:eastAsia="en-AU" w:bidi="ar-SA"/>
        </w:rPr>
      </w:pPr>
      <w:r w:rsidRPr="00C16486">
        <w:rPr>
          <w:rFonts w:ascii="Times New Roman" w:eastAsia="Cambria" w:hAnsi="Times New Roman" w:cs="Times New Roman"/>
          <w:sz w:val="24"/>
          <w:szCs w:val="24"/>
          <w:lang w:val="en-AU" w:eastAsia="en-AU" w:bidi="ar-SA"/>
        </w:rPr>
        <w:t xml:space="preserve">Rizki, </w:t>
      </w:r>
      <w:proofErr w:type="spellStart"/>
      <w:r w:rsidRPr="00C16486">
        <w:rPr>
          <w:rFonts w:ascii="Times New Roman" w:eastAsia="Cambria" w:hAnsi="Times New Roman" w:cs="Times New Roman"/>
          <w:sz w:val="24"/>
          <w:szCs w:val="24"/>
          <w:lang w:val="en-AU" w:eastAsia="en-AU" w:bidi="ar-SA"/>
        </w:rPr>
        <w:t>Miftahur</w:t>
      </w:r>
      <w:proofErr w:type="spellEnd"/>
      <w:r w:rsidRPr="00C16486">
        <w:rPr>
          <w:rFonts w:ascii="Times New Roman" w:eastAsia="Cambria" w:hAnsi="Times New Roman" w:cs="Times New Roman"/>
          <w:sz w:val="24"/>
          <w:szCs w:val="24"/>
          <w:lang w:val="en-AU" w:eastAsia="en-AU" w:bidi="ar-SA"/>
        </w:rPr>
        <w:t>. "</w:t>
      </w:r>
      <w:proofErr w:type="spellStart"/>
      <w:r w:rsidRPr="00C16486">
        <w:rPr>
          <w:rFonts w:ascii="Times New Roman" w:eastAsia="Cambria" w:hAnsi="Times New Roman" w:cs="Times New Roman"/>
          <w:sz w:val="24"/>
          <w:szCs w:val="24"/>
          <w:lang w:val="en-AU" w:eastAsia="en-AU" w:bidi="ar-SA"/>
        </w:rPr>
        <w:t>Konsekuensi</w:t>
      </w:r>
      <w:proofErr w:type="spellEnd"/>
      <w:r w:rsidRPr="00C16486">
        <w:rPr>
          <w:rFonts w:ascii="Times New Roman" w:eastAsia="Cambria" w:hAnsi="Times New Roman" w:cs="Times New Roman"/>
          <w:sz w:val="24"/>
          <w:szCs w:val="24"/>
          <w:lang w:val="en-AU" w:eastAsia="en-AU" w:bidi="ar-SA"/>
        </w:rPr>
        <w:t xml:space="preserve"> </w:t>
      </w:r>
      <w:proofErr w:type="spellStart"/>
      <w:r w:rsidRPr="00C16486">
        <w:rPr>
          <w:rFonts w:ascii="Times New Roman" w:eastAsia="Cambria" w:hAnsi="Times New Roman" w:cs="Times New Roman"/>
          <w:sz w:val="24"/>
          <w:szCs w:val="24"/>
          <w:lang w:val="en-AU" w:eastAsia="en-AU" w:bidi="ar-SA"/>
        </w:rPr>
        <w:t>Keuangan</w:t>
      </w:r>
      <w:proofErr w:type="spellEnd"/>
      <w:r w:rsidRPr="00C16486">
        <w:rPr>
          <w:rFonts w:ascii="Times New Roman" w:eastAsia="Cambria" w:hAnsi="Times New Roman" w:cs="Times New Roman"/>
          <w:sz w:val="24"/>
          <w:szCs w:val="24"/>
          <w:lang w:val="en-AU" w:eastAsia="en-AU" w:bidi="ar-SA"/>
        </w:rPr>
        <w:t xml:space="preserve"> dan Hukum </w:t>
      </w:r>
      <w:proofErr w:type="spellStart"/>
      <w:r w:rsidRPr="00C16486">
        <w:rPr>
          <w:rFonts w:ascii="Times New Roman" w:eastAsia="Cambria" w:hAnsi="Times New Roman" w:cs="Times New Roman"/>
          <w:sz w:val="24"/>
          <w:szCs w:val="24"/>
          <w:lang w:val="en-AU" w:eastAsia="en-AU" w:bidi="ar-SA"/>
        </w:rPr>
        <w:t>atas</w:t>
      </w:r>
      <w:proofErr w:type="spellEnd"/>
      <w:r w:rsidRPr="00C16486">
        <w:rPr>
          <w:rFonts w:ascii="Times New Roman" w:eastAsia="Cambria" w:hAnsi="Times New Roman" w:cs="Times New Roman"/>
          <w:sz w:val="24"/>
          <w:szCs w:val="24"/>
          <w:lang w:val="en-AU" w:eastAsia="en-AU" w:bidi="ar-SA"/>
        </w:rPr>
        <w:t xml:space="preserve"> </w:t>
      </w:r>
      <w:proofErr w:type="spellStart"/>
      <w:r w:rsidRPr="00C16486">
        <w:rPr>
          <w:rFonts w:ascii="Times New Roman" w:eastAsia="Cambria" w:hAnsi="Times New Roman" w:cs="Times New Roman"/>
          <w:sz w:val="24"/>
          <w:szCs w:val="24"/>
          <w:lang w:val="en-AU" w:eastAsia="en-AU" w:bidi="ar-SA"/>
        </w:rPr>
        <w:t>Pelanggaran</w:t>
      </w:r>
      <w:proofErr w:type="spellEnd"/>
      <w:r w:rsidRPr="00C16486">
        <w:rPr>
          <w:rFonts w:ascii="Times New Roman" w:eastAsia="Cambria" w:hAnsi="Times New Roman" w:cs="Times New Roman"/>
          <w:sz w:val="24"/>
          <w:szCs w:val="24"/>
          <w:lang w:val="en-AU" w:eastAsia="en-AU" w:bidi="ar-SA"/>
        </w:rPr>
        <w:t xml:space="preserve"> Hak Cipta </w:t>
      </w:r>
      <w:proofErr w:type="spellStart"/>
      <w:r w:rsidRPr="00C16486">
        <w:rPr>
          <w:rFonts w:ascii="Times New Roman" w:eastAsia="Cambria" w:hAnsi="Times New Roman" w:cs="Times New Roman"/>
          <w:sz w:val="24"/>
          <w:szCs w:val="24"/>
          <w:lang w:val="en-AU" w:eastAsia="en-AU" w:bidi="ar-SA"/>
        </w:rPr>
        <w:t>dalam</w:t>
      </w:r>
      <w:proofErr w:type="spellEnd"/>
      <w:r w:rsidRPr="00C16486">
        <w:rPr>
          <w:rFonts w:ascii="Times New Roman" w:eastAsia="Cambria" w:hAnsi="Times New Roman" w:cs="Times New Roman"/>
          <w:sz w:val="24"/>
          <w:szCs w:val="24"/>
          <w:lang w:val="en-AU" w:eastAsia="en-AU" w:bidi="ar-SA"/>
        </w:rPr>
        <w:t xml:space="preserve"> </w:t>
      </w:r>
      <w:proofErr w:type="spellStart"/>
      <w:r w:rsidRPr="00C16486">
        <w:rPr>
          <w:rFonts w:ascii="Times New Roman" w:eastAsia="Cambria" w:hAnsi="Times New Roman" w:cs="Times New Roman"/>
          <w:sz w:val="24"/>
          <w:szCs w:val="24"/>
          <w:lang w:val="en-AU" w:eastAsia="en-AU" w:bidi="ar-SA"/>
        </w:rPr>
        <w:t>Penampilan</w:t>
      </w:r>
      <w:proofErr w:type="spellEnd"/>
      <w:r w:rsidRPr="00C16486">
        <w:rPr>
          <w:rFonts w:ascii="Times New Roman" w:eastAsia="Cambria" w:hAnsi="Times New Roman" w:cs="Times New Roman"/>
          <w:sz w:val="24"/>
          <w:szCs w:val="24"/>
          <w:lang w:val="en-AU" w:eastAsia="en-AU" w:bidi="ar-SA"/>
        </w:rPr>
        <w:t xml:space="preserve"> Publik: Studi </w:t>
      </w:r>
      <w:proofErr w:type="spellStart"/>
      <w:r w:rsidRPr="00C16486">
        <w:rPr>
          <w:rFonts w:ascii="Times New Roman" w:eastAsia="Cambria" w:hAnsi="Times New Roman" w:cs="Times New Roman"/>
          <w:sz w:val="24"/>
          <w:szCs w:val="24"/>
          <w:lang w:val="en-AU" w:eastAsia="en-AU" w:bidi="ar-SA"/>
        </w:rPr>
        <w:t>Kasus</w:t>
      </w:r>
      <w:proofErr w:type="spellEnd"/>
      <w:r w:rsidRPr="00C16486">
        <w:rPr>
          <w:rFonts w:ascii="Times New Roman" w:eastAsia="Cambria" w:hAnsi="Times New Roman" w:cs="Times New Roman"/>
          <w:sz w:val="24"/>
          <w:szCs w:val="24"/>
          <w:lang w:val="en-AU" w:eastAsia="en-AU" w:bidi="ar-SA"/>
        </w:rPr>
        <w:t xml:space="preserve"> </w:t>
      </w:r>
      <w:proofErr w:type="spellStart"/>
      <w:r w:rsidRPr="00C16486">
        <w:rPr>
          <w:rFonts w:ascii="Times New Roman" w:eastAsia="Cambria" w:hAnsi="Times New Roman" w:cs="Times New Roman"/>
          <w:sz w:val="24"/>
          <w:szCs w:val="24"/>
          <w:lang w:val="en-AU" w:eastAsia="en-AU" w:bidi="ar-SA"/>
        </w:rPr>
        <w:t>Penyelesaian</w:t>
      </w:r>
      <w:proofErr w:type="spellEnd"/>
      <w:r w:rsidRPr="00C16486">
        <w:rPr>
          <w:rFonts w:ascii="Times New Roman" w:eastAsia="Cambria" w:hAnsi="Times New Roman" w:cs="Times New Roman"/>
          <w:sz w:val="24"/>
          <w:szCs w:val="24"/>
          <w:lang w:val="en-AU" w:eastAsia="en-AU" w:bidi="ar-SA"/>
        </w:rPr>
        <w:t xml:space="preserve"> </w:t>
      </w:r>
      <w:proofErr w:type="spellStart"/>
      <w:r w:rsidRPr="00C16486">
        <w:rPr>
          <w:rFonts w:ascii="Times New Roman" w:eastAsia="Cambria" w:hAnsi="Times New Roman" w:cs="Times New Roman"/>
          <w:sz w:val="24"/>
          <w:szCs w:val="24"/>
          <w:lang w:val="en-AU" w:eastAsia="en-AU" w:bidi="ar-SA"/>
        </w:rPr>
        <w:t>Sengketa</w:t>
      </w:r>
      <w:proofErr w:type="spellEnd"/>
      <w:r w:rsidRPr="00C16486">
        <w:rPr>
          <w:rFonts w:ascii="Times New Roman" w:eastAsia="Cambria" w:hAnsi="Times New Roman" w:cs="Times New Roman"/>
          <w:sz w:val="24"/>
          <w:szCs w:val="24"/>
          <w:lang w:val="en-AU" w:eastAsia="en-AU" w:bidi="ar-SA"/>
        </w:rPr>
        <w:t xml:space="preserve"> Royalti Musik pada Mie </w:t>
      </w:r>
      <w:proofErr w:type="spellStart"/>
      <w:r w:rsidRPr="00C16486">
        <w:rPr>
          <w:rFonts w:ascii="Times New Roman" w:eastAsia="Cambria" w:hAnsi="Times New Roman" w:cs="Times New Roman"/>
          <w:sz w:val="24"/>
          <w:szCs w:val="24"/>
          <w:lang w:val="en-AU" w:eastAsia="en-AU" w:bidi="ar-SA"/>
        </w:rPr>
        <w:t>Gacoan</w:t>
      </w:r>
      <w:proofErr w:type="spellEnd"/>
      <w:r w:rsidRPr="00C16486">
        <w:rPr>
          <w:rFonts w:ascii="Times New Roman" w:eastAsia="Cambria" w:hAnsi="Times New Roman" w:cs="Times New Roman"/>
          <w:sz w:val="24"/>
          <w:szCs w:val="24"/>
          <w:lang w:val="en-AU" w:eastAsia="en-AU" w:bidi="ar-SA"/>
        </w:rPr>
        <w:t xml:space="preserve"> Bali." </w:t>
      </w:r>
      <w:proofErr w:type="spellStart"/>
      <w:r w:rsidRPr="00C16486">
        <w:rPr>
          <w:rFonts w:ascii="Times New Roman" w:eastAsia="Cambria" w:hAnsi="Times New Roman" w:cs="Times New Roman"/>
          <w:i/>
          <w:iCs/>
          <w:sz w:val="24"/>
          <w:szCs w:val="24"/>
          <w:lang w:val="en-AU" w:eastAsia="en-AU" w:bidi="ar-SA"/>
        </w:rPr>
        <w:t>Aliansi</w:t>
      </w:r>
      <w:proofErr w:type="spellEnd"/>
      <w:r w:rsidRPr="00C16486">
        <w:rPr>
          <w:rFonts w:ascii="Times New Roman" w:eastAsia="Cambria" w:hAnsi="Times New Roman" w:cs="Times New Roman"/>
          <w:i/>
          <w:iCs/>
          <w:sz w:val="24"/>
          <w:szCs w:val="24"/>
          <w:lang w:val="en-AU" w:eastAsia="en-AU" w:bidi="ar-SA"/>
        </w:rPr>
        <w:t xml:space="preserve">: </w:t>
      </w:r>
      <w:proofErr w:type="spellStart"/>
      <w:r w:rsidRPr="00C16486">
        <w:rPr>
          <w:rFonts w:ascii="Times New Roman" w:eastAsia="Cambria" w:hAnsi="Times New Roman" w:cs="Times New Roman"/>
          <w:i/>
          <w:iCs/>
          <w:sz w:val="24"/>
          <w:szCs w:val="24"/>
          <w:lang w:val="en-AU" w:eastAsia="en-AU" w:bidi="ar-SA"/>
        </w:rPr>
        <w:t>Jurnal</w:t>
      </w:r>
      <w:proofErr w:type="spellEnd"/>
      <w:r w:rsidRPr="00C16486">
        <w:rPr>
          <w:rFonts w:ascii="Times New Roman" w:eastAsia="Cambria" w:hAnsi="Times New Roman" w:cs="Times New Roman"/>
          <w:i/>
          <w:iCs/>
          <w:sz w:val="24"/>
          <w:szCs w:val="24"/>
          <w:lang w:val="en-AU" w:eastAsia="en-AU" w:bidi="ar-SA"/>
        </w:rPr>
        <w:t xml:space="preserve"> Hukum, Pendidikan dan </w:t>
      </w:r>
      <w:proofErr w:type="spellStart"/>
      <w:r w:rsidRPr="00C16486">
        <w:rPr>
          <w:rFonts w:ascii="Times New Roman" w:eastAsia="Cambria" w:hAnsi="Times New Roman" w:cs="Times New Roman"/>
          <w:i/>
          <w:iCs/>
          <w:sz w:val="24"/>
          <w:szCs w:val="24"/>
          <w:lang w:val="en-AU" w:eastAsia="en-AU" w:bidi="ar-SA"/>
        </w:rPr>
        <w:t>Sosial</w:t>
      </w:r>
      <w:proofErr w:type="spellEnd"/>
      <w:r w:rsidRPr="00C16486">
        <w:rPr>
          <w:rFonts w:ascii="Times New Roman" w:eastAsia="Cambria" w:hAnsi="Times New Roman" w:cs="Times New Roman"/>
          <w:i/>
          <w:iCs/>
          <w:sz w:val="24"/>
          <w:szCs w:val="24"/>
          <w:lang w:val="en-AU" w:eastAsia="en-AU" w:bidi="ar-SA"/>
        </w:rPr>
        <w:t xml:space="preserve"> </w:t>
      </w:r>
      <w:proofErr w:type="spellStart"/>
      <w:r w:rsidRPr="00C16486">
        <w:rPr>
          <w:rFonts w:ascii="Times New Roman" w:eastAsia="Cambria" w:hAnsi="Times New Roman" w:cs="Times New Roman"/>
          <w:i/>
          <w:iCs/>
          <w:sz w:val="24"/>
          <w:szCs w:val="24"/>
          <w:lang w:val="en-AU" w:eastAsia="en-AU" w:bidi="ar-SA"/>
        </w:rPr>
        <w:t>Humaniora</w:t>
      </w:r>
      <w:proofErr w:type="spellEnd"/>
      <w:r w:rsidRPr="00C16486">
        <w:rPr>
          <w:rFonts w:ascii="Times New Roman" w:eastAsia="Cambria" w:hAnsi="Times New Roman" w:cs="Times New Roman"/>
          <w:sz w:val="24"/>
          <w:szCs w:val="24"/>
          <w:lang w:val="en-AU" w:eastAsia="en-AU" w:bidi="ar-SA"/>
        </w:rPr>
        <w:t xml:space="preserve"> 2, no. 6 (2025): 256–66.</w:t>
      </w:r>
    </w:p>
    <w:p w14:paraId="7023EFBC" w14:textId="01424693" w:rsidR="00A90240" w:rsidRPr="00653E1C" w:rsidRDefault="00653E1C" w:rsidP="00653E1C">
      <w:pPr>
        <w:spacing w:before="240" w:after="0"/>
        <w:ind w:left="284"/>
        <w:jc w:val="center"/>
        <w:rPr>
          <w:rFonts w:ascii="Cambria" w:eastAsia="EB Garamond" w:hAnsi="Cambria" w:cs="EB Garamond"/>
          <w:b/>
          <w:bCs/>
          <w:color w:val="215B57"/>
          <w:szCs w:val="22"/>
          <w:lang w:val="en-AU"/>
        </w:rPr>
      </w:pPr>
      <w:r w:rsidRPr="00653E1C">
        <w:rPr>
          <w:rFonts w:ascii="Cambria" w:eastAsia="EB Garamond" w:hAnsi="Cambria" w:cs="EB Garamond"/>
          <w:b/>
          <w:bCs/>
          <w:color w:val="215B57"/>
          <w:szCs w:val="22"/>
          <w:lang w:val="en-AU"/>
        </w:rPr>
        <w:t>Institutional Reports and Media Sources</w:t>
      </w:r>
      <w:r w:rsidR="00000000" w:rsidRPr="00C626FA">
        <w:rPr>
          <w:rFonts w:ascii="Cambria" w:eastAsia="EB Garamond" w:hAnsi="Cambria" w:cs="EB Garamond"/>
          <w:b/>
          <w:bCs/>
          <w:color w:val="215B57"/>
          <w:szCs w:val="22"/>
        </w:rPr>
        <w:t>:</w:t>
      </w:r>
    </w:p>
    <w:p w14:paraId="7BADC4D4" w14:textId="77777777" w:rsidR="00653E1C" w:rsidRPr="00653E1C" w:rsidRDefault="00653E1C" w:rsidP="00C16486">
      <w:pPr>
        <w:spacing w:before="240" w:after="100" w:line="240" w:lineRule="auto"/>
        <w:ind w:left="720" w:hanging="720"/>
        <w:jc w:val="both"/>
        <w:rPr>
          <w:rFonts w:ascii="Times New Roman" w:eastAsia="Cambria" w:hAnsi="Times New Roman" w:cs="Times New Roman"/>
          <w:sz w:val="24"/>
          <w:szCs w:val="24"/>
          <w:lang w:val="en-AU" w:eastAsia="en-AU" w:bidi="ar-SA"/>
        </w:rPr>
      </w:pPr>
      <w:proofErr w:type="spellStart"/>
      <w:r w:rsidRPr="00653E1C">
        <w:rPr>
          <w:rFonts w:ascii="Times New Roman" w:eastAsia="Cambria" w:hAnsi="Times New Roman" w:cs="Times New Roman"/>
          <w:sz w:val="24"/>
          <w:szCs w:val="24"/>
          <w:lang w:val="en-AU" w:eastAsia="en-AU" w:bidi="ar-SA"/>
        </w:rPr>
        <w:t>Direktorat</w:t>
      </w:r>
      <w:proofErr w:type="spellEnd"/>
      <w:r w:rsidRPr="00653E1C">
        <w:rPr>
          <w:rFonts w:ascii="Times New Roman" w:eastAsia="Cambria" w:hAnsi="Times New Roman" w:cs="Times New Roman"/>
          <w:sz w:val="24"/>
          <w:szCs w:val="24"/>
          <w:lang w:val="en-AU" w:eastAsia="en-AU" w:bidi="ar-SA"/>
        </w:rPr>
        <w:t xml:space="preserve"> </w:t>
      </w:r>
      <w:proofErr w:type="spellStart"/>
      <w:r w:rsidRPr="00653E1C">
        <w:rPr>
          <w:rFonts w:ascii="Times New Roman" w:eastAsia="Cambria" w:hAnsi="Times New Roman" w:cs="Times New Roman"/>
          <w:sz w:val="24"/>
          <w:szCs w:val="24"/>
          <w:lang w:val="en-AU" w:eastAsia="en-AU" w:bidi="ar-SA"/>
        </w:rPr>
        <w:t>Jenderal</w:t>
      </w:r>
      <w:proofErr w:type="spellEnd"/>
      <w:r w:rsidRPr="00653E1C">
        <w:rPr>
          <w:rFonts w:ascii="Times New Roman" w:eastAsia="Cambria" w:hAnsi="Times New Roman" w:cs="Times New Roman"/>
          <w:sz w:val="24"/>
          <w:szCs w:val="24"/>
          <w:lang w:val="en-AU" w:eastAsia="en-AU" w:bidi="ar-SA"/>
        </w:rPr>
        <w:t xml:space="preserve"> </w:t>
      </w:r>
      <w:proofErr w:type="spellStart"/>
      <w:r w:rsidRPr="00653E1C">
        <w:rPr>
          <w:rFonts w:ascii="Times New Roman" w:eastAsia="Cambria" w:hAnsi="Times New Roman" w:cs="Times New Roman"/>
          <w:sz w:val="24"/>
          <w:szCs w:val="24"/>
          <w:lang w:val="en-AU" w:eastAsia="en-AU" w:bidi="ar-SA"/>
        </w:rPr>
        <w:t>Kekayaan</w:t>
      </w:r>
      <w:proofErr w:type="spellEnd"/>
      <w:r w:rsidRPr="00653E1C">
        <w:rPr>
          <w:rFonts w:ascii="Times New Roman" w:eastAsia="Cambria" w:hAnsi="Times New Roman" w:cs="Times New Roman"/>
          <w:sz w:val="24"/>
          <w:szCs w:val="24"/>
          <w:lang w:val="en-AU" w:eastAsia="en-AU" w:bidi="ar-SA"/>
        </w:rPr>
        <w:t xml:space="preserve"> </w:t>
      </w:r>
      <w:proofErr w:type="spellStart"/>
      <w:r w:rsidRPr="00653E1C">
        <w:rPr>
          <w:rFonts w:ascii="Times New Roman" w:eastAsia="Cambria" w:hAnsi="Times New Roman" w:cs="Times New Roman"/>
          <w:sz w:val="24"/>
          <w:szCs w:val="24"/>
          <w:lang w:val="en-AU" w:eastAsia="en-AU" w:bidi="ar-SA"/>
        </w:rPr>
        <w:t>Intelektual</w:t>
      </w:r>
      <w:proofErr w:type="spellEnd"/>
      <w:r w:rsidRPr="00653E1C">
        <w:rPr>
          <w:rFonts w:ascii="Times New Roman" w:eastAsia="Cambria" w:hAnsi="Times New Roman" w:cs="Times New Roman"/>
          <w:sz w:val="24"/>
          <w:szCs w:val="24"/>
          <w:lang w:val="en-AU" w:eastAsia="en-AU" w:bidi="ar-SA"/>
        </w:rPr>
        <w:t xml:space="preserve">. "LMKN </w:t>
      </w:r>
      <w:proofErr w:type="spellStart"/>
      <w:r w:rsidRPr="00653E1C">
        <w:rPr>
          <w:rFonts w:ascii="Times New Roman" w:eastAsia="Cambria" w:hAnsi="Times New Roman" w:cs="Times New Roman"/>
          <w:sz w:val="24"/>
          <w:szCs w:val="24"/>
          <w:lang w:val="en-AU" w:eastAsia="en-AU" w:bidi="ar-SA"/>
        </w:rPr>
        <w:t>Cetak</w:t>
      </w:r>
      <w:proofErr w:type="spellEnd"/>
      <w:r w:rsidRPr="00653E1C">
        <w:rPr>
          <w:rFonts w:ascii="Times New Roman" w:eastAsia="Cambria" w:hAnsi="Times New Roman" w:cs="Times New Roman"/>
          <w:sz w:val="24"/>
          <w:szCs w:val="24"/>
          <w:lang w:val="en-AU" w:eastAsia="en-AU" w:bidi="ar-SA"/>
        </w:rPr>
        <w:t xml:space="preserve"> </w:t>
      </w:r>
      <w:proofErr w:type="spellStart"/>
      <w:r w:rsidRPr="00653E1C">
        <w:rPr>
          <w:rFonts w:ascii="Times New Roman" w:eastAsia="Cambria" w:hAnsi="Times New Roman" w:cs="Times New Roman"/>
          <w:sz w:val="24"/>
          <w:szCs w:val="24"/>
          <w:lang w:val="en-AU" w:eastAsia="en-AU" w:bidi="ar-SA"/>
        </w:rPr>
        <w:t>Rekor</w:t>
      </w:r>
      <w:proofErr w:type="spellEnd"/>
      <w:r w:rsidRPr="00653E1C">
        <w:rPr>
          <w:rFonts w:ascii="Times New Roman" w:eastAsia="Cambria" w:hAnsi="Times New Roman" w:cs="Times New Roman"/>
          <w:sz w:val="24"/>
          <w:szCs w:val="24"/>
          <w:lang w:val="en-AU" w:eastAsia="en-AU" w:bidi="ar-SA"/>
        </w:rPr>
        <w:t xml:space="preserve"> Royalti, DJKI </w:t>
      </w:r>
      <w:proofErr w:type="spellStart"/>
      <w:r w:rsidRPr="00653E1C">
        <w:rPr>
          <w:rFonts w:ascii="Times New Roman" w:eastAsia="Cambria" w:hAnsi="Times New Roman" w:cs="Times New Roman"/>
          <w:sz w:val="24"/>
          <w:szCs w:val="24"/>
          <w:lang w:val="en-AU" w:eastAsia="en-AU" w:bidi="ar-SA"/>
        </w:rPr>
        <w:t>Aktif</w:t>
      </w:r>
      <w:proofErr w:type="spellEnd"/>
      <w:r w:rsidRPr="00653E1C">
        <w:rPr>
          <w:rFonts w:ascii="Times New Roman" w:eastAsia="Cambria" w:hAnsi="Times New Roman" w:cs="Times New Roman"/>
          <w:sz w:val="24"/>
          <w:szCs w:val="24"/>
          <w:lang w:val="en-AU" w:eastAsia="en-AU" w:bidi="ar-SA"/>
        </w:rPr>
        <w:t xml:space="preserve"> </w:t>
      </w:r>
      <w:proofErr w:type="spellStart"/>
      <w:r w:rsidRPr="00653E1C">
        <w:rPr>
          <w:rFonts w:ascii="Times New Roman" w:eastAsia="Cambria" w:hAnsi="Times New Roman" w:cs="Times New Roman"/>
          <w:sz w:val="24"/>
          <w:szCs w:val="24"/>
          <w:lang w:val="en-AU" w:eastAsia="en-AU" w:bidi="ar-SA"/>
        </w:rPr>
        <w:t>Dorong</w:t>
      </w:r>
      <w:proofErr w:type="spellEnd"/>
      <w:r w:rsidRPr="00653E1C">
        <w:rPr>
          <w:rFonts w:ascii="Times New Roman" w:eastAsia="Cambria" w:hAnsi="Times New Roman" w:cs="Times New Roman"/>
          <w:sz w:val="24"/>
          <w:szCs w:val="24"/>
          <w:lang w:val="en-AU" w:eastAsia="en-AU" w:bidi="ar-SA"/>
        </w:rPr>
        <w:t xml:space="preserve"> </w:t>
      </w:r>
      <w:proofErr w:type="spellStart"/>
      <w:r w:rsidRPr="00653E1C">
        <w:rPr>
          <w:rFonts w:ascii="Times New Roman" w:eastAsia="Cambria" w:hAnsi="Times New Roman" w:cs="Times New Roman"/>
          <w:sz w:val="24"/>
          <w:szCs w:val="24"/>
          <w:lang w:val="en-AU" w:eastAsia="en-AU" w:bidi="ar-SA"/>
        </w:rPr>
        <w:t>Transparansi</w:t>
      </w:r>
      <w:proofErr w:type="spellEnd"/>
      <w:r w:rsidRPr="00653E1C">
        <w:rPr>
          <w:rFonts w:ascii="Times New Roman" w:eastAsia="Cambria" w:hAnsi="Times New Roman" w:cs="Times New Roman"/>
          <w:sz w:val="24"/>
          <w:szCs w:val="24"/>
          <w:lang w:val="en-AU" w:eastAsia="en-AU" w:bidi="ar-SA"/>
        </w:rPr>
        <w:t xml:space="preserve"> dan Penguatan </w:t>
      </w:r>
      <w:proofErr w:type="spellStart"/>
      <w:r w:rsidRPr="00653E1C">
        <w:rPr>
          <w:rFonts w:ascii="Times New Roman" w:eastAsia="Cambria" w:hAnsi="Times New Roman" w:cs="Times New Roman"/>
          <w:sz w:val="24"/>
          <w:szCs w:val="24"/>
          <w:lang w:val="en-AU" w:eastAsia="en-AU" w:bidi="ar-SA"/>
        </w:rPr>
        <w:t>Sistem</w:t>
      </w:r>
      <w:proofErr w:type="spellEnd"/>
      <w:r w:rsidRPr="00653E1C">
        <w:rPr>
          <w:rFonts w:ascii="Times New Roman" w:eastAsia="Cambria" w:hAnsi="Times New Roman" w:cs="Times New Roman"/>
          <w:sz w:val="24"/>
          <w:szCs w:val="24"/>
          <w:lang w:val="en-AU" w:eastAsia="en-AU" w:bidi="ar-SA"/>
        </w:rPr>
        <w:t xml:space="preserve"> Hak Cipta." dgip.go.id, 2025.</w:t>
      </w:r>
    </w:p>
    <w:p w14:paraId="5464E104" w14:textId="77777777" w:rsidR="00653E1C" w:rsidRPr="00653E1C" w:rsidRDefault="00653E1C" w:rsidP="00C16486">
      <w:pPr>
        <w:spacing w:before="240" w:after="100" w:line="240" w:lineRule="auto"/>
        <w:ind w:left="720" w:hanging="720"/>
        <w:jc w:val="both"/>
        <w:rPr>
          <w:rFonts w:ascii="Times New Roman" w:eastAsia="Cambria" w:hAnsi="Times New Roman" w:cs="Times New Roman"/>
          <w:sz w:val="24"/>
          <w:szCs w:val="24"/>
          <w:lang w:val="en-AU" w:eastAsia="en-AU" w:bidi="ar-SA"/>
        </w:rPr>
      </w:pPr>
      <w:r w:rsidRPr="00653E1C">
        <w:rPr>
          <w:rFonts w:ascii="Times New Roman" w:eastAsia="Cambria" w:hAnsi="Times New Roman" w:cs="Times New Roman"/>
          <w:sz w:val="24"/>
          <w:szCs w:val="24"/>
          <w:lang w:val="en-AU" w:eastAsia="en-AU" w:bidi="ar-SA"/>
        </w:rPr>
        <w:t>Kementerian Hukum Republik Indonesia. "</w:t>
      </w:r>
      <w:proofErr w:type="spellStart"/>
      <w:r w:rsidRPr="00653E1C">
        <w:rPr>
          <w:rFonts w:ascii="Times New Roman" w:eastAsia="Cambria" w:hAnsi="Times New Roman" w:cs="Times New Roman"/>
          <w:sz w:val="24"/>
          <w:szCs w:val="24"/>
          <w:lang w:val="en-AU" w:eastAsia="en-AU" w:bidi="ar-SA"/>
        </w:rPr>
        <w:t>Pelantikan</w:t>
      </w:r>
      <w:proofErr w:type="spellEnd"/>
      <w:r w:rsidRPr="00653E1C">
        <w:rPr>
          <w:rFonts w:ascii="Times New Roman" w:eastAsia="Cambria" w:hAnsi="Times New Roman" w:cs="Times New Roman"/>
          <w:sz w:val="24"/>
          <w:szCs w:val="24"/>
          <w:lang w:val="en-AU" w:eastAsia="en-AU" w:bidi="ar-SA"/>
        </w:rPr>
        <w:t xml:space="preserve"> LMKN: Royalti Aman, Kreator Nyaman." dgip.go.id, 8 August 2025.</w:t>
      </w:r>
    </w:p>
    <w:p w14:paraId="3D1934CA" w14:textId="77777777" w:rsidR="00653E1C" w:rsidRPr="00653E1C" w:rsidRDefault="00653E1C" w:rsidP="00C16486">
      <w:pPr>
        <w:spacing w:before="240" w:after="100" w:line="240" w:lineRule="auto"/>
        <w:ind w:left="720" w:hanging="720"/>
        <w:jc w:val="both"/>
        <w:rPr>
          <w:rFonts w:ascii="Times New Roman" w:eastAsia="Cambria" w:hAnsi="Times New Roman" w:cs="Times New Roman"/>
          <w:sz w:val="24"/>
          <w:szCs w:val="24"/>
          <w:lang w:val="en-AU" w:eastAsia="en-AU" w:bidi="ar-SA"/>
        </w:rPr>
      </w:pPr>
      <w:r w:rsidRPr="00653E1C">
        <w:rPr>
          <w:rFonts w:ascii="Times New Roman" w:eastAsia="Cambria" w:hAnsi="Times New Roman" w:cs="Times New Roman"/>
          <w:sz w:val="24"/>
          <w:szCs w:val="24"/>
          <w:lang w:val="en-AU" w:eastAsia="en-AU" w:bidi="ar-SA"/>
        </w:rPr>
        <w:t>Kementerian Hukum Republik Indonesia. "</w:t>
      </w:r>
      <w:proofErr w:type="spellStart"/>
      <w:r w:rsidRPr="00653E1C">
        <w:rPr>
          <w:rFonts w:ascii="Times New Roman" w:eastAsia="Cambria" w:hAnsi="Times New Roman" w:cs="Times New Roman"/>
          <w:sz w:val="24"/>
          <w:szCs w:val="24"/>
          <w:lang w:val="en-AU" w:eastAsia="en-AU" w:bidi="ar-SA"/>
        </w:rPr>
        <w:t>Pemerintah</w:t>
      </w:r>
      <w:proofErr w:type="spellEnd"/>
      <w:r w:rsidRPr="00653E1C">
        <w:rPr>
          <w:rFonts w:ascii="Times New Roman" w:eastAsia="Cambria" w:hAnsi="Times New Roman" w:cs="Times New Roman"/>
          <w:sz w:val="24"/>
          <w:szCs w:val="24"/>
          <w:lang w:val="en-AU" w:eastAsia="en-AU" w:bidi="ar-SA"/>
        </w:rPr>
        <w:t xml:space="preserve"> </w:t>
      </w:r>
      <w:proofErr w:type="spellStart"/>
      <w:r w:rsidRPr="00653E1C">
        <w:rPr>
          <w:rFonts w:ascii="Times New Roman" w:eastAsia="Cambria" w:hAnsi="Times New Roman" w:cs="Times New Roman"/>
          <w:sz w:val="24"/>
          <w:szCs w:val="24"/>
          <w:lang w:val="en-AU" w:eastAsia="en-AU" w:bidi="ar-SA"/>
        </w:rPr>
        <w:t>Terbitkan</w:t>
      </w:r>
      <w:proofErr w:type="spellEnd"/>
      <w:r w:rsidRPr="00653E1C">
        <w:rPr>
          <w:rFonts w:ascii="Times New Roman" w:eastAsia="Cambria" w:hAnsi="Times New Roman" w:cs="Times New Roman"/>
          <w:sz w:val="24"/>
          <w:szCs w:val="24"/>
          <w:lang w:val="en-AU" w:eastAsia="en-AU" w:bidi="ar-SA"/>
        </w:rPr>
        <w:t xml:space="preserve"> Surat </w:t>
      </w:r>
      <w:proofErr w:type="spellStart"/>
      <w:r w:rsidRPr="00653E1C">
        <w:rPr>
          <w:rFonts w:ascii="Times New Roman" w:eastAsia="Cambria" w:hAnsi="Times New Roman" w:cs="Times New Roman"/>
          <w:sz w:val="24"/>
          <w:szCs w:val="24"/>
          <w:lang w:val="en-AU" w:eastAsia="en-AU" w:bidi="ar-SA"/>
        </w:rPr>
        <w:t>Edaran</w:t>
      </w:r>
      <w:proofErr w:type="spellEnd"/>
      <w:r w:rsidRPr="00653E1C">
        <w:rPr>
          <w:rFonts w:ascii="Times New Roman" w:eastAsia="Cambria" w:hAnsi="Times New Roman" w:cs="Times New Roman"/>
          <w:sz w:val="24"/>
          <w:szCs w:val="24"/>
          <w:lang w:val="en-AU" w:eastAsia="en-AU" w:bidi="ar-SA"/>
        </w:rPr>
        <w:t xml:space="preserve"> </w:t>
      </w:r>
      <w:proofErr w:type="spellStart"/>
      <w:r w:rsidRPr="00653E1C">
        <w:rPr>
          <w:rFonts w:ascii="Times New Roman" w:eastAsia="Cambria" w:hAnsi="Times New Roman" w:cs="Times New Roman"/>
          <w:sz w:val="24"/>
          <w:szCs w:val="24"/>
          <w:lang w:val="en-AU" w:eastAsia="en-AU" w:bidi="ar-SA"/>
        </w:rPr>
        <w:t>Kewajiban</w:t>
      </w:r>
      <w:proofErr w:type="spellEnd"/>
      <w:r w:rsidRPr="00653E1C">
        <w:rPr>
          <w:rFonts w:ascii="Times New Roman" w:eastAsia="Cambria" w:hAnsi="Times New Roman" w:cs="Times New Roman"/>
          <w:sz w:val="24"/>
          <w:szCs w:val="24"/>
          <w:lang w:val="en-AU" w:eastAsia="en-AU" w:bidi="ar-SA"/>
        </w:rPr>
        <w:t xml:space="preserve"> </w:t>
      </w:r>
      <w:proofErr w:type="spellStart"/>
      <w:r w:rsidRPr="00653E1C">
        <w:rPr>
          <w:rFonts w:ascii="Times New Roman" w:eastAsia="Cambria" w:hAnsi="Times New Roman" w:cs="Times New Roman"/>
          <w:sz w:val="24"/>
          <w:szCs w:val="24"/>
          <w:lang w:val="en-AU" w:eastAsia="en-AU" w:bidi="ar-SA"/>
        </w:rPr>
        <w:t>Pembayaran</w:t>
      </w:r>
      <w:proofErr w:type="spellEnd"/>
      <w:r w:rsidRPr="00653E1C">
        <w:rPr>
          <w:rFonts w:ascii="Times New Roman" w:eastAsia="Cambria" w:hAnsi="Times New Roman" w:cs="Times New Roman"/>
          <w:sz w:val="24"/>
          <w:szCs w:val="24"/>
          <w:lang w:val="en-AU" w:eastAsia="en-AU" w:bidi="ar-SA"/>
        </w:rPr>
        <w:t xml:space="preserve"> Royalti Lagu dan/Musik di Ruang Publik </w:t>
      </w:r>
      <w:proofErr w:type="spellStart"/>
      <w:r w:rsidRPr="00653E1C">
        <w:rPr>
          <w:rFonts w:ascii="Times New Roman" w:eastAsia="Cambria" w:hAnsi="Times New Roman" w:cs="Times New Roman"/>
          <w:sz w:val="24"/>
          <w:szCs w:val="24"/>
          <w:lang w:val="en-AU" w:eastAsia="en-AU" w:bidi="ar-SA"/>
        </w:rPr>
        <w:t>Komersial</w:t>
      </w:r>
      <w:proofErr w:type="spellEnd"/>
      <w:r w:rsidRPr="00653E1C">
        <w:rPr>
          <w:rFonts w:ascii="Times New Roman" w:eastAsia="Cambria" w:hAnsi="Times New Roman" w:cs="Times New Roman"/>
          <w:sz w:val="24"/>
          <w:szCs w:val="24"/>
          <w:lang w:val="en-AU" w:eastAsia="en-AU" w:bidi="ar-SA"/>
        </w:rPr>
        <w:t>." djpp.kemenkum.go.id, 30 December 2025.</w:t>
      </w:r>
    </w:p>
    <w:p w14:paraId="0B0AF729" w14:textId="77777777" w:rsidR="00653E1C" w:rsidRPr="00653E1C" w:rsidRDefault="00653E1C" w:rsidP="00C16486">
      <w:pPr>
        <w:spacing w:before="240" w:after="100" w:line="240" w:lineRule="auto"/>
        <w:ind w:left="720" w:hanging="720"/>
        <w:jc w:val="both"/>
        <w:rPr>
          <w:rFonts w:ascii="Times New Roman" w:eastAsia="Cambria" w:hAnsi="Times New Roman" w:cs="Times New Roman"/>
          <w:sz w:val="24"/>
          <w:szCs w:val="24"/>
          <w:lang w:val="en-AU" w:eastAsia="en-AU" w:bidi="ar-SA"/>
        </w:rPr>
      </w:pPr>
      <w:r w:rsidRPr="00653E1C">
        <w:rPr>
          <w:rFonts w:ascii="Times New Roman" w:eastAsia="Cambria" w:hAnsi="Times New Roman" w:cs="Times New Roman"/>
          <w:sz w:val="24"/>
          <w:szCs w:val="24"/>
          <w:lang w:val="en-AU" w:eastAsia="en-AU" w:bidi="ar-SA"/>
        </w:rPr>
        <w:t xml:space="preserve">Kompas.com. "Tarif Royalti Musik </w:t>
      </w:r>
      <w:proofErr w:type="spellStart"/>
      <w:r w:rsidRPr="00653E1C">
        <w:rPr>
          <w:rFonts w:ascii="Times New Roman" w:eastAsia="Cambria" w:hAnsi="Times New Roman" w:cs="Times New Roman"/>
          <w:sz w:val="24"/>
          <w:szCs w:val="24"/>
          <w:lang w:val="en-AU" w:eastAsia="en-AU" w:bidi="ar-SA"/>
        </w:rPr>
        <w:t>untuk</w:t>
      </w:r>
      <w:proofErr w:type="spellEnd"/>
      <w:r w:rsidRPr="00653E1C">
        <w:rPr>
          <w:rFonts w:ascii="Times New Roman" w:eastAsia="Cambria" w:hAnsi="Times New Roman" w:cs="Times New Roman"/>
          <w:sz w:val="24"/>
          <w:szCs w:val="24"/>
          <w:lang w:val="en-AU" w:eastAsia="en-AU" w:bidi="ar-SA"/>
        </w:rPr>
        <w:t xml:space="preserve"> Kafe dan </w:t>
      </w:r>
      <w:proofErr w:type="spellStart"/>
      <w:r w:rsidRPr="00653E1C">
        <w:rPr>
          <w:rFonts w:ascii="Times New Roman" w:eastAsia="Cambria" w:hAnsi="Times New Roman" w:cs="Times New Roman"/>
          <w:sz w:val="24"/>
          <w:szCs w:val="24"/>
          <w:lang w:val="en-AU" w:eastAsia="en-AU" w:bidi="ar-SA"/>
        </w:rPr>
        <w:t>Restoran</w:t>
      </w:r>
      <w:proofErr w:type="spellEnd"/>
      <w:r w:rsidRPr="00653E1C">
        <w:rPr>
          <w:rFonts w:ascii="Times New Roman" w:eastAsia="Cambria" w:hAnsi="Times New Roman" w:cs="Times New Roman"/>
          <w:sz w:val="24"/>
          <w:szCs w:val="24"/>
          <w:lang w:val="en-AU" w:eastAsia="en-AU" w:bidi="ar-SA"/>
        </w:rPr>
        <w:t xml:space="preserve">: </w:t>
      </w:r>
      <w:proofErr w:type="spellStart"/>
      <w:r w:rsidRPr="00653E1C">
        <w:rPr>
          <w:rFonts w:ascii="Times New Roman" w:eastAsia="Cambria" w:hAnsi="Times New Roman" w:cs="Times New Roman"/>
          <w:sz w:val="24"/>
          <w:szCs w:val="24"/>
          <w:lang w:val="en-AU" w:eastAsia="en-AU" w:bidi="ar-SA"/>
        </w:rPr>
        <w:t>Begini</w:t>
      </w:r>
      <w:proofErr w:type="spellEnd"/>
      <w:r w:rsidRPr="00653E1C">
        <w:rPr>
          <w:rFonts w:ascii="Times New Roman" w:eastAsia="Cambria" w:hAnsi="Times New Roman" w:cs="Times New Roman"/>
          <w:sz w:val="24"/>
          <w:szCs w:val="24"/>
          <w:lang w:val="en-AU" w:eastAsia="en-AU" w:bidi="ar-SA"/>
        </w:rPr>
        <w:t xml:space="preserve"> Cara </w:t>
      </w:r>
      <w:proofErr w:type="spellStart"/>
      <w:r w:rsidRPr="00653E1C">
        <w:rPr>
          <w:rFonts w:ascii="Times New Roman" w:eastAsia="Cambria" w:hAnsi="Times New Roman" w:cs="Times New Roman"/>
          <w:sz w:val="24"/>
          <w:szCs w:val="24"/>
          <w:lang w:val="en-AU" w:eastAsia="en-AU" w:bidi="ar-SA"/>
        </w:rPr>
        <w:t>Hitungnya</w:t>
      </w:r>
      <w:proofErr w:type="spellEnd"/>
      <w:r w:rsidRPr="00653E1C">
        <w:rPr>
          <w:rFonts w:ascii="Times New Roman" w:eastAsia="Cambria" w:hAnsi="Times New Roman" w:cs="Times New Roman"/>
          <w:sz w:val="24"/>
          <w:szCs w:val="24"/>
          <w:lang w:val="en-AU" w:eastAsia="en-AU" w:bidi="ar-SA"/>
        </w:rPr>
        <w:t>." money.kompas.com, 10 August 2025.</w:t>
      </w:r>
    </w:p>
    <w:p w14:paraId="3EB8A833" w14:textId="77777777" w:rsidR="00653E1C" w:rsidRPr="00653E1C" w:rsidRDefault="00653E1C" w:rsidP="00C16486">
      <w:pPr>
        <w:spacing w:before="240" w:after="100" w:line="240" w:lineRule="auto"/>
        <w:ind w:left="720" w:hanging="720"/>
        <w:jc w:val="both"/>
        <w:rPr>
          <w:rFonts w:ascii="Times New Roman" w:eastAsia="Cambria" w:hAnsi="Times New Roman" w:cs="Times New Roman"/>
          <w:sz w:val="24"/>
          <w:szCs w:val="24"/>
          <w:lang w:val="en-AU" w:eastAsia="en-AU" w:bidi="ar-SA"/>
        </w:rPr>
      </w:pPr>
      <w:r w:rsidRPr="00653E1C">
        <w:rPr>
          <w:rFonts w:ascii="Times New Roman" w:eastAsia="Cambria" w:hAnsi="Times New Roman" w:cs="Times New Roman"/>
          <w:sz w:val="24"/>
          <w:szCs w:val="24"/>
          <w:lang w:val="en-AU" w:eastAsia="en-AU" w:bidi="ar-SA"/>
        </w:rPr>
        <w:t xml:space="preserve">Lembaga </w:t>
      </w:r>
      <w:proofErr w:type="spellStart"/>
      <w:r w:rsidRPr="00653E1C">
        <w:rPr>
          <w:rFonts w:ascii="Times New Roman" w:eastAsia="Cambria" w:hAnsi="Times New Roman" w:cs="Times New Roman"/>
          <w:sz w:val="24"/>
          <w:szCs w:val="24"/>
          <w:lang w:val="en-AU" w:eastAsia="en-AU" w:bidi="ar-SA"/>
        </w:rPr>
        <w:t>Manajemen</w:t>
      </w:r>
      <w:proofErr w:type="spellEnd"/>
      <w:r w:rsidRPr="00653E1C">
        <w:rPr>
          <w:rFonts w:ascii="Times New Roman" w:eastAsia="Cambria" w:hAnsi="Times New Roman" w:cs="Times New Roman"/>
          <w:sz w:val="24"/>
          <w:szCs w:val="24"/>
          <w:lang w:val="en-AU" w:eastAsia="en-AU" w:bidi="ar-SA"/>
        </w:rPr>
        <w:t xml:space="preserve"> </w:t>
      </w:r>
      <w:proofErr w:type="spellStart"/>
      <w:r w:rsidRPr="00653E1C">
        <w:rPr>
          <w:rFonts w:ascii="Times New Roman" w:eastAsia="Cambria" w:hAnsi="Times New Roman" w:cs="Times New Roman"/>
          <w:sz w:val="24"/>
          <w:szCs w:val="24"/>
          <w:lang w:val="en-AU" w:eastAsia="en-AU" w:bidi="ar-SA"/>
        </w:rPr>
        <w:t>Kolektif</w:t>
      </w:r>
      <w:proofErr w:type="spellEnd"/>
      <w:r w:rsidRPr="00653E1C">
        <w:rPr>
          <w:rFonts w:ascii="Times New Roman" w:eastAsia="Cambria" w:hAnsi="Times New Roman" w:cs="Times New Roman"/>
          <w:sz w:val="24"/>
          <w:szCs w:val="24"/>
          <w:lang w:val="en-AU" w:eastAsia="en-AU" w:bidi="ar-SA"/>
        </w:rPr>
        <w:t xml:space="preserve"> Nasional. "Kinerja LMKN 2025 </w:t>
      </w:r>
      <w:proofErr w:type="spellStart"/>
      <w:r w:rsidRPr="00653E1C">
        <w:rPr>
          <w:rFonts w:ascii="Times New Roman" w:eastAsia="Cambria" w:hAnsi="Times New Roman" w:cs="Times New Roman"/>
          <w:sz w:val="24"/>
          <w:szCs w:val="24"/>
          <w:lang w:val="en-AU" w:eastAsia="en-AU" w:bidi="ar-SA"/>
        </w:rPr>
        <w:t>dalam</w:t>
      </w:r>
      <w:proofErr w:type="spellEnd"/>
      <w:r w:rsidRPr="00653E1C">
        <w:rPr>
          <w:rFonts w:ascii="Times New Roman" w:eastAsia="Cambria" w:hAnsi="Times New Roman" w:cs="Times New Roman"/>
          <w:sz w:val="24"/>
          <w:szCs w:val="24"/>
          <w:lang w:val="en-AU" w:eastAsia="en-AU" w:bidi="ar-SA"/>
        </w:rPr>
        <w:t xml:space="preserve"> Angka: </w:t>
      </w:r>
      <w:proofErr w:type="spellStart"/>
      <w:r w:rsidRPr="00653E1C">
        <w:rPr>
          <w:rFonts w:ascii="Times New Roman" w:eastAsia="Cambria" w:hAnsi="Times New Roman" w:cs="Times New Roman"/>
          <w:sz w:val="24"/>
          <w:szCs w:val="24"/>
          <w:lang w:val="en-AU" w:eastAsia="en-AU" w:bidi="ar-SA"/>
        </w:rPr>
        <w:t>Penghimpunan</w:t>
      </w:r>
      <w:proofErr w:type="spellEnd"/>
      <w:r w:rsidRPr="00653E1C">
        <w:rPr>
          <w:rFonts w:ascii="Times New Roman" w:eastAsia="Cambria" w:hAnsi="Times New Roman" w:cs="Times New Roman"/>
          <w:sz w:val="24"/>
          <w:szCs w:val="24"/>
          <w:lang w:val="en-AU" w:eastAsia="en-AU" w:bidi="ar-SA"/>
        </w:rPr>
        <w:t xml:space="preserve"> dan </w:t>
      </w:r>
      <w:proofErr w:type="spellStart"/>
      <w:r w:rsidRPr="00653E1C">
        <w:rPr>
          <w:rFonts w:ascii="Times New Roman" w:eastAsia="Cambria" w:hAnsi="Times New Roman" w:cs="Times New Roman"/>
          <w:sz w:val="24"/>
          <w:szCs w:val="24"/>
          <w:lang w:val="en-AU" w:eastAsia="en-AU" w:bidi="ar-SA"/>
        </w:rPr>
        <w:t>Distribusi</w:t>
      </w:r>
      <w:proofErr w:type="spellEnd"/>
      <w:r w:rsidRPr="00653E1C">
        <w:rPr>
          <w:rFonts w:ascii="Times New Roman" w:eastAsia="Cambria" w:hAnsi="Times New Roman" w:cs="Times New Roman"/>
          <w:sz w:val="24"/>
          <w:szCs w:val="24"/>
          <w:lang w:val="en-AU" w:eastAsia="en-AU" w:bidi="ar-SA"/>
        </w:rPr>
        <w:t xml:space="preserve"> Royalti." lmkn.id, 2026.</w:t>
      </w:r>
    </w:p>
    <w:p w14:paraId="4D19913B" w14:textId="77777777" w:rsidR="00653E1C" w:rsidRPr="00653E1C" w:rsidRDefault="00653E1C" w:rsidP="00C16486">
      <w:pPr>
        <w:spacing w:before="240" w:after="100" w:line="240" w:lineRule="auto"/>
        <w:ind w:left="720" w:hanging="720"/>
        <w:jc w:val="both"/>
        <w:rPr>
          <w:rFonts w:ascii="Times New Roman" w:eastAsia="Cambria" w:hAnsi="Times New Roman" w:cs="Times New Roman"/>
          <w:sz w:val="24"/>
          <w:szCs w:val="24"/>
          <w:lang w:val="en-AU" w:eastAsia="en-AU" w:bidi="ar-SA"/>
        </w:rPr>
      </w:pPr>
      <w:proofErr w:type="spellStart"/>
      <w:r w:rsidRPr="00653E1C">
        <w:rPr>
          <w:rFonts w:ascii="Times New Roman" w:eastAsia="Cambria" w:hAnsi="Times New Roman" w:cs="Times New Roman"/>
          <w:sz w:val="24"/>
          <w:szCs w:val="24"/>
          <w:lang w:val="en-AU" w:eastAsia="en-AU" w:bidi="ar-SA"/>
        </w:rPr>
        <w:t>Mahkamah</w:t>
      </w:r>
      <w:proofErr w:type="spellEnd"/>
      <w:r w:rsidRPr="00653E1C">
        <w:rPr>
          <w:rFonts w:ascii="Times New Roman" w:eastAsia="Cambria" w:hAnsi="Times New Roman" w:cs="Times New Roman"/>
          <w:sz w:val="24"/>
          <w:szCs w:val="24"/>
          <w:lang w:val="en-AU" w:eastAsia="en-AU" w:bidi="ar-SA"/>
        </w:rPr>
        <w:t xml:space="preserve"> </w:t>
      </w:r>
      <w:proofErr w:type="spellStart"/>
      <w:r w:rsidRPr="00653E1C">
        <w:rPr>
          <w:rFonts w:ascii="Times New Roman" w:eastAsia="Cambria" w:hAnsi="Times New Roman" w:cs="Times New Roman"/>
          <w:sz w:val="24"/>
          <w:szCs w:val="24"/>
          <w:lang w:val="en-AU" w:eastAsia="en-AU" w:bidi="ar-SA"/>
        </w:rPr>
        <w:t>Konstitusi</w:t>
      </w:r>
      <w:proofErr w:type="spellEnd"/>
      <w:r w:rsidRPr="00653E1C">
        <w:rPr>
          <w:rFonts w:ascii="Times New Roman" w:eastAsia="Cambria" w:hAnsi="Times New Roman" w:cs="Times New Roman"/>
          <w:sz w:val="24"/>
          <w:szCs w:val="24"/>
          <w:lang w:val="en-AU" w:eastAsia="en-AU" w:bidi="ar-SA"/>
        </w:rPr>
        <w:t xml:space="preserve"> RI. "Parameter </w:t>
      </w:r>
      <w:proofErr w:type="spellStart"/>
      <w:r w:rsidRPr="00653E1C">
        <w:rPr>
          <w:rFonts w:ascii="Times New Roman" w:eastAsia="Cambria" w:hAnsi="Times New Roman" w:cs="Times New Roman"/>
          <w:sz w:val="24"/>
          <w:szCs w:val="24"/>
          <w:lang w:val="en-AU" w:eastAsia="en-AU" w:bidi="ar-SA"/>
        </w:rPr>
        <w:t>Penentuan</w:t>
      </w:r>
      <w:proofErr w:type="spellEnd"/>
      <w:r w:rsidRPr="00653E1C">
        <w:rPr>
          <w:rFonts w:ascii="Times New Roman" w:eastAsia="Cambria" w:hAnsi="Times New Roman" w:cs="Times New Roman"/>
          <w:sz w:val="24"/>
          <w:szCs w:val="24"/>
          <w:lang w:val="en-AU" w:eastAsia="en-AU" w:bidi="ar-SA"/>
        </w:rPr>
        <w:t xml:space="preserve"> Royalti </w:t>
      </w:r>
      <w:proofErr w:type="spellStart"/>
      <w:r w:rsidRPr="00653E1C">
        <w:rPr>
          <w:rFonts w:ascii="Times New Roman" w:eastAsia="Cambria" w:hAnsi="Times New Roman" w:cs="Times New Roman"/>
          <w:sz w:val="24"/>
          <w:szCs w:val="24"/>
          <w:lang w:val="en-AU" w:eastAsia="en-AU" w:bidi="ar-SA"/>
        </w:rPr>
        <w:t>Diatur</w:t>
      </w:r>
      <w:proofErr w:type="spellEnd"/>
      <w:r w:rsidRPr="00653E1C">
        <w:rPr>
          <w:rFonts w:ascii="Times New Roman" w:eastAsia="Cambria" w:hAnsi="Times New Roman" w:cs="Times New Roman"/>
          <w:sz w:val="24"/>
          <w:szCs w:val="24"/>
          <w:lang w:val="en-AU" w:eastAsia="en-AU" w:bidi="ar-SA"/>
        </w:rPr>
        <w:t xml:space="preserve"> </w:t>
      </w:r>
      <w:proofErr w:type="spellStart"/>
      <w:r w:rsidRPr="00653E1C">
        <w:rPr>
          <w:rFonts w:ascii="Times New Roman" w:eastAsia="Cambria" w:hAnsi="Times New Roman" w:cs="Times New Roman"/>
          <w:sz w:val="24"/>
          <w:szCs w:val="24"/>
          <w:lang w:val="en-AU" w:eastAsia="en-AU" w:bidi="ar-SA"/>
        </w:rPr>
        <w:t>dalam</w:t>
      </w:r>
      <w:proofErr w:type="spellEnd"/>
      <w:r w:rsidRPr="00653E1C">
        <w:rPr>
          <w:rFonts w:ascii="Times New Roman" w:eastAsia="Cambria" w:hAnsi="Times New Roman" w:cs="Times New Roman"/>
          <w:sz w:val="24"/>
          <w:szCs w:val="24"/>
          <w:lang w:val="en-AU" w:eastAsia="en-AU" w:bidi="ar-SA"/>
        </w:rPr>
        <w:t xml:space="preserve"> </w:t>
      </w:r>
      <w:proofErr w:type="spellStart"/>
      <w:r w:rsidRPr="00653E1C">
        <w:rPr>
          <w:rFonts w:ascii="Times New Roman" w:eastAsia="Cambria" w:hAnsi="Times New Roman" w:cs="Times New Roman"/>
          <w:sz w:val="24"/>
          <w:szCs w:val="24"/>
          <w:lang w:val="en-AU" w:eastAsia="en-AU" w:bidi="ar-SA"/>
        </w:rPr>
        <w:t>Peraturan</w:t>
      </w:r>
      <w:proofErr w:type="spellEnd"/>
      <w:r w:rsidRPr="00653E1C">
        <w:rPr>
          <w:rFonts w:ascii="Times New Roman" w:eastAsia="Cambria" w:hAnsi="Times New Roman" w:cs="Times New Roman"/>
          <w:sz w:val="24"/>
          <w:szCs w:val="24"/>
          <w:lang w:val="en-AU" w:eastAsia="en-AU" w:bidi="ar-SA"/>
        </w:rPr>
        <w:t xml:space="preserve"> </w:t>
      </w:r>
      <w:proofErr w:type="spellStart"/>
      <w:r w:rsidRPr="00653E1C">
        <w:rPr>
          <w:rFonts w:ascii="Times New Roman" w:eastAsia="Cambria" w:hAnsi="Times New Roman" w:cs="Times New Roman"/>
          <w:sz w:val="24"/>
          <w:szCs w:val="24"/>
          <w:lang w:val="en-AU" w:eastAsia="en-AU" w:bidi="ar-SA"/>
        </w:rPr>
        <w:t>Perundang-Undangan</w:t>
      </w:r>
      <w:proofErr w:type="spellEnd"/>
      <w:r w:rsidRPr="00653E1C">
        <w:rPr>
          <w:rFonts w:ascii="Times New Roman" w:eastAsia="Cambria" w:hAnsi="Times New Roman" w:cs="Times New Roman"/>
          <w:sz w:val="24"/>
          <w:szCs w:val="24"/>
          <w:lang w:val="en-AU" w:eastAsia="en-AU" w:bidi="ar-SA"/>
        </w:rPr>
        <w:t>." mkri.id, 17 December 2025.</w:t>
      </w:r>
    </w:p>
    <w:p w14:paraId="68E56311" w14:textId="77777777" w:rsidR="00653E1C" w:rsidRPr="00653E1C" w:rsidRDefault="00653E1C" w:rsidP="00C16486">
      <w:pPr>
        <w:spacing w:before="240" w:after="100" w:line="240" w:lineRule="auto"/>
        <w:ind w:left="720" w:hanging="720"/>
        <w:jc w:val="both"/>
        <w:rPr>
          <w:rFonts w:ascii="Times New Roman" w:eastAsia="Cambria" w:hAnsi="Times New Roman" w:cs="Times New Roman"/>
          <w:sz w:val="24"/>
          <w:szCs w:val="24"/>
          <w:lang w:val="en-AU" w:eastAsia="en-AU" w:bidi="ar-SA"/>
        </w:rPr>
      </w:pPr>
      <w:proofErr w:type="spellStart"/>
      <w:r w:rsidRPr="00653E1C">
        <w:rPr>
          <w:rFonts w:ascii="Times New Roman" w:eastAsia="Cambria" w:hAnsi="Times New Roman" w:cs="Times New Roman"/>
          <w:sz w:val="24"/>
          <w:szCs w:val="24"/>
          <w:lang w:val="en-AU" w:eastAsia="en-AU" w:bidi="ar-SA"/>
        </w:rPr>
        <w:lastRenderedPageBreak/>
        <w:t>Mahkamah</w:t>
      </w:r>
      <w:proofErr w:type="spellEnd"/>
      <w:r w:rsidRPr="00653E1C">
        <w:rPr>
          <w:rFonts w:ascii="Times New Roman" w:eastAsia="Cambria" w:hAnsi="Times New Roman" w:cs="Times New Roman"/>
          <w:sz w:val="24"/>
          <w:szCs w:val="24"/>
          <w:lang w:val="en-AU" w:eastAsia="en-AU" w:bidi="ar-SA"/>
        </w:rPr>
        <w:t xml:space="preserve"> </w:t>
      </w:r>
      <w:proofErr w:type="spellStart"/>
      <w:r w:rsidRPr="00653E1C">
        <w:rPr>
          <w:rFonts w:ascii="Times New Roman" w:eastAsia="Cambria" w:hAnsi="Times New Roman" w:cs="Times New Roman"/>
          <w:sz w:val="24"/>
          <w:szCs w:val="24"/>
          <w:lang w:val="en-AU" w:eastAsia="en-AU" w:bidi="ar-SA"/>
        </w:rPr>
        <w:t>Konstitusi</w:t>
      </w:r>
      <w:proofErr w:type="spellEnd"/>
      <w:r w:rsidRPr="00653E1C">
        <w:rPr>
          <w:rFonts w:ascii="Times New Roman" w:eastAsia="Cambria" w:hAnsi="Times New Roman" w:cs="Times New Roman"/>
          <w:sz w:val="24"/>
          <w:szCs w:val="24"/>
          <w:lang w:val="en-AU" w:eastAsia="en-AU" w:bidi="ar-SA"/>
        </w:rPr>
        <w:t xml:space="preserve"> RI. "UU Hak Cipta, </w:t>
      </w:r>
      <w:proofErr w:type="spellStart"/>
      <w:r w:rsidRPr="00653E1C">
        <w:rPr>
          <w:rFonts w:ascii="Times New Roman" w:eastAsia="Cambria" w:hAnsi="Times New Roman" w:cs="Times New Roman"/>
          <w:sz w:val="24"/>
          <w:szCs w:val="24"/>
          <w:lang w:val="en-AU" w:eastAsia="en-AU" w:bidi="ar-SA"/>
        </w:rPr>
        <w:t>Tuntutan</w:t>
      </w:r>
      <w:proofErr w:type="spellEnd"/>
      <w:r w:rsidRPr="00653E1C">
        <w:rPr>
          <w:rFonts w:ascii="Times New Roman" w:eastAsia="Cambria" w:hAnsi="Times New Roman" w:cs="Times New Roman"/>
          <w:sz w:val="24"/>
          <w:szCs w:val="24"/>
          <w:lang w:val="en-AU" w:eastAsia="en-AU" w:bidi="ar-SA"/>
        </w:rPr>
        <w:t xml:space="preserve"> </w:t>
      </w:r>
      <w:proofErr w:type="spellStart"/>
      <w:r w:rsidRPr="00653E1C">
        <w:rPr>
          <w:rFonts w:ascii="Times New Roman" w:eastAsia="Cambria" w:hAnsi="Times New Roman" w:cs="Times New Roman"/>
          <w:sz w:val="24"/>
          <w:szCs w:val="24"/>
          <w:lang w:val="en-AU" w:eastAsia="en-AU" w:bidi="ar-SA"/>
        </w:rPr>
        <w:t>Pidana</w:t>
      </w:r>
      <w:proofErr w:type="spellEnd"/>
      <w:r w:rsidRPr="00653E1C">
        <w:rPr>
          <w:rFonts w:ascii="Times New Roman" w:eastAsia="Cambria" w:hAnsi="Times New Roman" w:cs="Times New Roman"/>
          <w:sz w:val="24"/>
          <w:szCs w:val="24"/>
          <w:lang w:val="en-AU" w:eastAsia="en-AU" w:bidi="ar-SA"/>
        </w:rPr>
        <w:t xml:space="preserve"> Dapat </w:t>
      </w:r>
      <w:proofErr w:type="spellStart"/>
      <w:r w:rsidRPr="00653E1C">
        <w:rPr>
          <w:rFonts w:ascii="Times New Roman" w:eastAsia="Cambria" w:hAnsi="Times New Roman" w:cs="Times New Roman"/>
          <w:sz w:val="24"/>
          <w:szCs w:val="24"/>
          <w:lang w:val="en-AU" w:eastAsia="en-AU" w:bidi="ar-SA"/>
        </w:rPr>
        <w:t>Ditempuh</w:t>
      </w:r>
      <w:proofErr w:type="spellEnd"/>
      <w:r w:rsidRPr="00653E1C">
        <w:rPr>
          <w:rFonts w:ascii="Times New Roman" w:eastAsia="Cambria" w:hAnsi="Times New Roman" w:cs="Times New Roman"/>
          <w:sz w:val="24"/>
          <w:szCs w:val="24"/>
          <w:lang w:val="en-AU" w:eastAsia="en-AU" w:bidi="ar-SA"/>
        </w:rPr>
        <w:t xml:space="preserve"> Jika Upaya </w:t>
      </w:r>
      <w:proofErr w:type="spellStart"/>
      <w:r w:rsidRPr="00653E1C">
        <w:rPr>
          <w:rFonts w:ascii="Times New Roman" w:eastAsia="Cambria" w:hAnsi="Times New Roman" w:cs="Times New Roman"/>
          <w:sz w:val="24"/>
          <w:szCs w:val="24"/>
          <w:lang w:val="en-AU" w:eastAsia="en-AU" w:bidi="ar-SA"/>
        </w:rPr>
        <w:t>Perdata</w:t>
      </w:r>
      <w:proofErr w:type="spellEnd"/>
      <w:r w:rsidRPr="00653E1C">
        <w:rPr>
          <w:rFonts w:ascii="Times New Roman" w:eastAsia="Cambria" w:hAnsi="Times New Roman" w:cs="Times New Roman"/>
          <w:sz w:val="24"/>
          <w:szCs w:val="24"/>
          <w:lang w:val="en-AU" w:eastAsia="en-AU" w:bidi="ar-SA"/>
        </w:rPr>
        <w:t xml:space="preserve"> </w:t>
      </w:r>
      <w:proofErr w:type="spellStart"/>
      <w:r w:rsidRPr="00653E1C">
        <w:rPr>
          <w:rFonts w:ascii="Times New Roman" w:eastAsia="Cambria" w:hAnsi="Times New Roman" w:cs="Times New Roman"/>
          <w:sz w:val="24"/>
          <w:szCs w:val="24"/>
          <w:lang w:val="en-AU" w:eastAsia="en-AU" w:bidi="ar-SA"/>
        </w:rPr>
        <w:t>Gagal</w:t>
      </w:r>
      <w:proofErr w:type="spellEnd"/>
      <w:r w:rsidRPr="00653E1C">
        <w:rPr>
          <w:rFonts w:ascii="Times New Roman" w:eastAsia="Cambria" w:hAnsi="Times New Roman" w:cs="Times New Roman"/>
          <w:sz w:val="24"/>
          <w:szCs w:val="24"/>
          <w:lang w:val="en-AU" w:eastAsia="en-AU" w:bidi="ar-SA"/>
        </w:rPr>
        <w:t>." mkri.id, 30 June 2025.</w:t>
      </w:r>
    </w:p>
    <w:p w14:paraId="43166CD3" w14:textId="77777777" w:rsidR="00653E1C" w:rsidRPr="00653E1C" w:rsidRDefault="00653E1C" w:rsidP="00C16486">
      <w:pPr>
        <w:spacing w:before="240" w:after="100" w:line="240" w:lineRule="auto"/>
        <w:ind w:left="720" w:hanging="720"/>
        <w:jc w:val="both"/>
        <w:rPr>
          <w:rFonts w:ascii="Times New Roman" w:eastAsia="Cambria" w:hAnsi="Times New Roman" w:cs="Times New Roman"/>
          <w:sz w:val="24"/>
          <w:szCs w:val="24"/>
          <w:lang w:val="en-AU" w:eastAsia="en-AU" w:bidi="ar-SA"/>
        </w:rPr>
      </w:pPr>
      <w:r w:rsidRPr="00653E1C">
        <w:rPr>
          <w:rFonts w:ascii="Times New Roman" w:eastAsia="Cambria" w:hAnsi="Times New Roman" w:cs="Times New Roman"/>
          <w:sz w:val="24"/>
          <w:szCs w:val="24"/>
          <w:lang w:val="en-AU" w:eastAsia="en-AU" w:bidi="ar-SA"/>
        </w:rPr>
        <w:t xml:space="preserve">Merdeka.com. "Polda Bali </w:t>
      </w:r>
      <w:proofErr w:type="spellStart"/>
      <w:r w:rsidRPr="00653E1C">
        <w:rPr>
          <w:rFonts w:ascii="Times New Roman" w:eastAsia="Cambria" w:hAnsi="Times New Roman" w:cs="Times New Roman"/>
          <w:sz w:val="24"/>
          <w:szCs w:val="24"/>
          <w:lang w:val="en-AU" w:eastAsia="en-AU" w:bidi="ar-SA"/>
        </w:rPr>
        <w:t>Akhirnya</w:t>
      </w:r>
      <w:proofErr w:type="spellEnd"/>
      <w:r w:rsidRPr="00653E1C">
        <w:rPr>
          <w:rFonts w:ascii="Times New Roman" w:eastAsia="Cambria" w:hAnsi="Times New Roman" w:cs="Times New Roman"/>
          <w:sz w:val="24"/>
          <w:szCs w:val="24"/>
          <w:lang w:val="en-AU" w:eastAsia="en-AU" w:bidi="ar-SA"/>
        </w:rPr>
        <w:t xml:space="preserve"> </w:t>
      </w:r>
      <w:proofErr w:type="spellStart"/>
      <w:r w:rsidRPr="00653E1C">
        <w:rPr>
          <w:rFonts w:ascii="Times New Roman" w:eastAsia="Cambria" w:hAnsi="Times New Roman" w:cs="Times New Roman"/>
          <w:sz w:val="24"/>
          <w:szCs w:val="24"/>
          <w:lang w:val="en-AU" w:eastAsia="en-AU" w:bidi="ar-SA"/>
        </w:rPr>
        <w:t>Hentikan</w:t>
      </w:r>
      <w:proofErr w:type="spellEnd"/>
      <w:r w:rsidRPr="00653E1C">
        <w:rPr>
          <w:rFonts w:ascii="Times New Roman" w:eastAsia="Cambria" w:hAnsi="Times New Roman" w:cs="Times New Roman"/>
          <w:sz w:val="24"/>
          <w:szCs w:val="24"/>
          <w:lang w:val="en-AU" w:eastAsia="en-AU" w:bidi="ar-SA"/>
        </w:rPr>
        <w:t xml:space="preserve"> </w:t>
      </w:r>
      <w:proofErr w:type="spellStart"/>
      <w:r w:rsidRPr="00653E1C">
        <w:rPr>
          <w:rFonts w:ascii="Times New Roman" w:eastAsia="Cambria" w:hAnsi="Times New Roman" w:cs="Times New Roman"/>
          <w:sz w:val="24"/>
          <w:szCs w:val="24"/>
          <w:lang w:val="en-AU" w:eastAsia="en-AU" w:bidi="ar-SA"/>
        </w:rPr>
        <w:t>Kasus</w:t>
      </w:r>
      <w:proofErr w:type="spellEnd"/>
      <w:r w:rsidRPr="00653E1C">
        <w:rPr>
          <w:rFonts w:ascii="Times New Roman" w:eastAsia="Cambria" w:hAnsi="Times New Roman" w:cs="Times New Roman"/>
          <w:sz w:val="24"/>
          <w:szCs w:val="24"/>
          <w:lang w:val="en-AU" w:eastAsia="en-AU" w:bidi="ar-SA"/>
        </w:rPr>
        <w:t xml:space="preserve"> Royalti Musik Mie Gacoan </w:t>
      </w:r>
      <w:proofErr w:type="spellStart"/>
      <w:r w:rsidRPr="00653E1C">
        <w:rPr>
          <w:rFonts w:ascii="Times New Roman" w:eastAsia="Cambria" w:hAnsi="Times New Roman" w:cs="Times New Roman"/>
          <w:sz w:val="24"/>
          <w:szCs w:val="24"/>
          <w:lang w:val="en-AU" w:eastAsia="en-AU" w:bidi="ar-SA"/>
        </w:rPr>
        <w:t>Setelah</w:t>
      </w:r>
      <w:proofErr w:type="spellEnd"/>
      <w:r w:rsidRPr="00653E1C">
        <w:rPr>
          <w:rFonts w:ascii="Times New Roman" w:eastAsia="Cambria" w:hAnsi="Times New Roman" w:cs="Times New Roman"/>
          <w:sz w:val="24"/>
          <w:szCs w:val="24"/>
          <w:lang w:val="en-AU" w:eastAsia="en-AU" w:bidi="ar-SA"/>
        </w:rPr>
        <w:t xml:space="preserve"> </w:t>
      </w:r>
      <w:proofErr w:type="spellStart"/>
      <w:r w:rsidRPr="00653E1C">
        <w:rPr>
          <w:rFonts w:ascii="Times New Roman" w:eastAsia="Cambria" w:hAnsi="Times New Roman" w:cs="Times New Roman"/>
          <w:sz w:val="24"/>
          <w:szCs w:val="24"/>
          <w:lang w:val="en-AU" w:eastAsia="en-AU" w:bidi="ar-SA"/>
        </w:rPr>
        <w:t>Pembayaran</w:t>
      </w:r>
      <w:proofErr w:type="spellEnd"/>
      <w:r w:rsidRPr="00653E1C">
        <w:rPr>
          <w:rFonts w:ascii="Times New Roman" w:eastAsia="Cambria" w:hAnsi="Times New Roman" w:cs="Times New Roman"/>
          <w:sz w:val="24"/>
          <w:szCs w:val="24"/>
          <w:lang w:val="en-AU" w:eastAsia="en-AU" w:bidi="ar-SA"/>
        </w:rPr>
        <w:t xml:space="preserve"> Rp 2,2 </w:t>
      </w:r>
      <w:proofErr w:type="spellStart"/>
      <w:r w:rsidRPr="00653E1C">
        <w:rPr>
          <w:rFonts w:ascii="Times New Roman" w:eastAsia="Cambria" w:hAnsi="Times New Roman" w:cs="Times New Roman"/>
          <w:sz w:val="24"/>
          <w:szCs w:val="24"/>
          <w:lang w:val="en-AU" w:eastAsia="en-AU" w:bidi="ar-SA"/>
        </w:rPr>
        <w:t>Miliar</w:t>
      </w:r>
      <w:proofErr w:type="spellEnd"/>
      <w:r w:rsidRPr="00653E1C">
        <w:rPr>
          <w:rFonts w:ascii="Times New Roman" w:eastAsia="Cambria" w:hAnsi="Times New Roman" w:cs="Times New Roman"/>
          <w:sz w:val="24"/>
          <w:szCs w:val="24"/>
          <w:lang w:val="en-AU" w:eastAsia="en-AU" w:bidi="ar-SA"/>
        </w:rPr>
        <w:t>." merdeka.com, 29 August 2025.</w:t>
      </w:r>
    </w:p>
    <w:p w14:paraId="4E59B8D6" w14:textId="77777777" w:rsidR="00653E1C" w:rsidRPr="00653E1C" w:rsidRDefault="00653E1C" w:rsidP="00C16486">
      <w:pPr>
        <w:spacing w:before="240" w:after="100" w:line="240" w:lineRule="auto"/>
        <w:ind w:left="720" w:hanging="720"/>
        <w:jc w:val="both"/>
        <w:rPr>
          <w:rFonts w:ascii="Times New Roman" w:eastAsia="Cambria" w:hAnsi="Times New Roman" w:cs="Times New Roman"/>
          <w:sz w:val="24"/>
          <w:szCs w:val="24"/>
          <w:lang w:val="en-AU" w:eastAsia="en-AU" w:bidi="ar-SA"/>
        </w:rPr>
      </w:pPr>
      <w:proofErr w:type="spellStart"/>
      <w:r w:rsidRPr="00653E1C">
        <w:rPr>
          <w:rFonts w:ascii="Times New Roman" w:eastAsia="Cambria" w:hAnsi="Times New Roman" w:cs="Times New Roman"/>
          <w:sz w:val="24"/>
          <w:szCs w:val="24"/>
          <w:lang w:val="en-AU" w:eastAsia="en-AU" w:bidi="ar-SA"/>
        </w:rPr>
        <w:t>NusaBali</w:t>
      </w:r>
      <w:proofErr w:type="spellEnd"/>
      <w:r w:rsidRPr="00653E1C">
        <w:rPr>
          <w:rFonts w:ascii="Times New Roman" w:eastAsia="Cambria" w:hAnsi="Times New Roman" w:cs="Times New Roman"/>
          <w:sz w:val="24"/>
          <w:szCs w:val="24"/>
          <w:lang w:val="en-AU" w:eastAsia="en-AU" w:bidi="ar-SA"/>
        </w:rPr>
        <w:t xml:space="preserve">. "Royalti Rp 2,2 </w:t>
      </w:r>
      <w:proofErr w:type="spellStart"/>
      <w:r w:rsidRPr="00653E1C">
        <w:rPr>
          <w:rFonts w:ascii="Times New Roman" w:eastAsia="Cambria" w:hAnsi="Times New Roman" w:cs="Times New Roman"/>
          <w:sz w:val="24"/>
          <w:szCs w:val="24"/>
          <w:lang w:val="en-AU" w:eastAsia="en-AU" w:bidi="ar-SA"/>
        </w:rPr>
        <w:t>Miliar</w:t>
      </w:r>
      <w:proofErr w:type="spellEnd"/>
      <w:r w:rsidRPr="00653E1C">
        <w:rPr>
          <w:rFonts w:ascii="Times New Roman" w:eastAsia="Cambria" w:hAnsi="Times New Roman" w:cs="Times New Roman"/>
          <w:sz w:val="24"/>
          <w:szCs w:val="24"/>
          <w:lang w:val="en-AU" w:eastAsia="en-AU" w:bidi="ar-SA"/>
        </w:rPr>
        <w:t xml:space="preserve"> </w:t>
      </w:r>
      <w:proofErr w:type="spellStart"/>
      <w:r w:rsidRPr="00653E1C">
        <w:rPr>
          <w:rFonts w:ascii="Times New Roman" w:eastAsia="Cambria" w:hAnsi="Times New Roman" w:cs="Times New Roman"/>
          <w:sz w:val="24"/>
          <w:szCs w:val="24"/>
          <w:lang w:val="en-AU" w:eastAsia="en-AU" w:bidi="ar-SA"/>
        </w:rPr>
        <w:t>Dibayarkan</w:t>
      </w:r>
      <w:proofErr w:type="spellEnd"/>
      <w:r w:rsidRPr="00653E1C">
        <w:rPr>
          <w:rFonts w:ascii="Times New Roman" w:eastAsia="Cambria" w:hAnsi="Times New Roman" w:cs="Times New Roman"/>
          <w:sz w:val="24"/>
          <w:szCs w:val="24"/>
          <w:lang w:val="en-AU" w:eastAsia="en-AU" w:bidi="ar-SA"/>
        </w:rPr>
        <w:t xml:space="preserve">, Mie </w:t>
      </w:r>
      <w:proofErr w:type="spellStart"/>
      <w:r w:rsidRPr="00653E1C">
        <w:rPr>
          <w:rFonts w:ascii="Times New Roman" w:eastAsia="Cambria" w:hAnsi="Times New Roman" w:cs="Times New Roman"/>
          <w:sz w:val="24"/>
          <w:szCs w:val="24"/>
          <w:lang w:val="en-AU" w:eastAsia="en-AU" w:bidi="ar-SA"/>
        </w:rPr>
        <w:t>Gacoan</w:t>
      </w:r>
      <w:proofErr w:type="spellEnd"/>
      <w:r w:rsidRPr="00653E1C">
        <w:rPr>
          <w:rFonts w:ascii="Times New Roman" w:eastAsia="Cambria" w:hAnsi="Times New Roman" w:cs="Times New Roman"/>
          <w:sz w:val="24"/>
          <w:szCs w:val="24"/>
          <w:lang w:val="en-AU" w:eastAsia="en-AU" w:bidi="ar-SA"/>
        </w:rPr>
        <w:t xml:space="preserve"> dan LMK SELMI </w:t>
      </w:r>
      <w:proofErr w:type="spellStart"/>
      <w:r w:rsidRPr="00653E1C">
        <w:rPr>
          <w:rFonts w:ascii="Times New Roman" w:eastAsia="Cambria" w:hAnsi="Times New Roman" w:cs="Times New Roman"/>
          <w:sz w:val="24"/>
          <w:szCs w:val="24"/>
          <w:lang w:val="en-AU" w:eastAsia="en-AU" w:bidi="ar-SA"/>
        </w:rPr>
        <w:t>Sepakat</w:t>
      </w:r>
      <w:proofErr w:type="spellEnd"/>
      <w:r w:rsidRPr="00653E1C">
        <w:rPr>
          <w:rFonts w:ascii="Times New Roman" w:eastAsia="Cambria" w:hAnsi="Times New Roman" w:cs="Times New Roman"/>
          <w:sz w:val="24"/>
          <w:szCs w:val="24"/>
          <w:lang w:val="en-AU" w:eastAsia="en-AU" w:bidi="ar-SA"/>
        </w:rPr>
        <w:t xml:space="preserve"> Damai." nusabali.com, 8 August 2025.</w:t>
      </w:r>
    </w:p>
    <w:p w14:paraId="6314CFF1" w14:textId="77777777" w:rsidR="00653E1C" w:rsidRPr="00653E1C" w:rsidRDefault="00653E1C" w:rsidP="00C16486">
      <w:pPr>
        <w:spacing w:before="240" w:after="100" w:line="240" w:lineRule="auto"/>
        <w:ind w:left="720" w:hanging="720"/>
        <w:jc w:val="both"/>
        <w:rPr>
          <w:rFonts w:ascii="Times New Roman" w:eastAsia="Cambria" w:hAnsi="Times New Roman" w:cs="Times New Roman"/>
          <w:sz w:val="24"/>
          <w:szCs w:val="24"/>
          <w:lang w:val="en-AU" w:eastAsia="en-AU" w:bidi="ar-SA"/>
        </w:rPr>
      </w:pPr>
      <w:r w:rsidRPr="00653E1C">
        <w:rPr>
          <w:rFonts w:ascii="Times New Roman" w:eastAsia="Cambria" w:hAnsi="Times New Roman" w:cs="Times New Roman"/>
          <w:sz w:val="24"/>
          <w:szCs w:val="24"/>
          <w:lang w:val="en-AU" w:eastAsia="en-AU" w:bidi="ar-SA"/>
        </w:rPr>
        <w:t xml:space="preserve">Radar Bali. "Bayar Royalti Rp 2,2 M, Status </w:t>
      </w:r>
      <w:proofErr w:type="spellStart"/>
      <w:r w:rsidRPr="00653E1C">
        <w:rPr>
          <w:rFonts w:ascii="Times New Roman" w:eastAsia="Cambria" w:hAnsi="Times New Roman" w:cs="Times New Roman"/>
          <w:sz w:val="24"/>
          <w:szCs w:val="24"/>
          <w:lang w:val="en-AU" w:eastAsia="en-AU" w:bidi="ar-SA"/>
        </w:rPr>
        <w:t>Tersangka</w:t>
      </w:r>
      <w:proofErr w:type="spellEnd"/>
      <w:r w:rsidRPr="00653E1C">
        <w:rPr>
          <w:rFonts w:ascii="Times New Roman" w:eastAsia="Cambria" w:hAnsi="Times New Roman" w:cs="Times New Roman"/>
          <w:sz w:val="24"/>
          <w:szCs w:val="24"/>
          <w:lang w:val="en-AU" w:eastAsia="en-AU" w:bidi="ar-SA"/>
        </w:rPr>
        <w:t xml:space="preserve"> </w:t>
      </w:r>
      <w:proofErr w:type="spellStart"/>
      <w:r w:rsidRPr="00653E1C">
        <w:rPr>
          <w:rFonts w:ascii="Times New Roman" w:eastAsia="Cambria" w:hAnsi="Times New Roman" w:cs="Times New Roman"/>
          <w:sz w:val="24"/>
          <w:szCs w:val="24"/>
          <w:lang w:val="en-AU" w:eastAsia="en-AU" w:bidi="ar-SA"/>
        </w:rPr>
        <w:t>Direktur</w:t>
      </w:r>
      <w:proofErr w:type="spellEnd"/>
      <w:r w:rsidRPr="00653E1C">
        <w:rPr>
          <w:rFonts w:ascii="Times New Roman" w:eastAsia="Cambria" w:hAnsi="Times New Roman" w:cs="Times New Roman"/>
          <w:sz w:val="24"/>
          <w:szCs w:val="24"/>
          <w:lang w:val="en-AU" w:eastAsia="en-AU" w:bidi="ar-SA"/>
        </w:rPr>
        <w:t xml:space="preserve"> Mie Gacoan Bakal </w:t>
      </w:r>
      <w:proofErr w:type="spellStart"/>
      <w:r w:rsidRPr="00653E1C">
        <w:rPr>
          <w:rFonts w:ascii="Times New Roman" w:eastAsia="Cambria" w:hAnsi="Times New Roman" w:cs="Times New Roman"/>
          <w:sz w:val="24"/>
          <w:szCs w:val="24"/>
          <w:lang w:val="en-AU" w:eastAsia="en-AU" w:bidi="ar-SA"/>
        </w:rPr>
        <w:t>Dicabut</w:t>
      </w:r>
      <w:proofErr w:type="spellEnd"/>
      <w:r w:rsidRPr="00653E1C">
        <w:rPr>
          <w:rFonts w:ascii="Times New Roman" w:eastAsia="Cambria" w:hAnsi="Times New Roman" w:cs="Times New Roman"/>
          <w:sz w:val="24"/>
          <w:szCs w:val="24"/>
          <w:lang w:val="en-AU" w:eastAsia="en-AU" w:bidi="ar-SA"/>
        </w:rPr>
        <w:t>." radarbali.jawapos.com, 9 August 2025.</w:t>
      </w:r>
    </w:p>
    <w:p w14:paraId="307A4777" w14:textId="77777777" w:rsidR="00653E1C" w:rsidRPr="00653E1C" w:rsidRDefault="00653E1C" w:rsidP="00C16486">
      <w:pPr>
        <w:spacing w:before="240" w:after="100" w:line="240" w:lineRule="auto"/>
        <w:ind w:left="720" w:hanging="720"/>
        <w:jc w:val="both"/>
        <w:rPr>
          <w:rFonts w:ascii="Times New Roman" w:eastAsia="Cambria" w:hAnsi="Times New Roman" w:cs="Times New Roman"/>
          <w:sz w:val="24"/>
          <w:szCs w:val="24"/>
          <w:lang w:val="en-AU" w:eastAsia="en-AU" w:bidi="ar-SA"/>
        </w:rPr>
      </w:pPr>
      <w:r w:rsidRPr="00653E1C">
        <w:rPr>
          <w:rFonts w:ascii="Times New Roman" w:eastAsia="Cambria" w:hAnsi="Times New Roman" w:cs="Times New Roman"/>
          <w:sz w:val="24"/>
          <w:szCs w:val="24"/>
          <w:lang w:val="en-AU" w:eastAsia="en-AU" w:bidi="ar-SA"/>
        </w:rPr>
        <w:t>Tempo.co. "</w:t>
      </w:r>
      <w:proofErr w:type="spellStart"/>
      <w:r w:rsidRPr="00653E1C">
        <w:rPr>
          <w:rFonts w:ascii="Times New Roman" w:eastAsia="Cambria" w:hAnsi="Times New Roman" w:cs="Times New Roman"/>
          <w:sz w:val="24"/>
          <w:szCs w:val="24"/>
          <w:lang w:val="en-AU" w:eastAsia="en-AU" w:bidi="ar-SA"/>
        </w:rPr>
        <w:t>Penagihan</w:t>
      </w:r>
      <w:proofErr w:type="spellEnd"/>
      <w:r w:rsidRPr="00653E1C">
        <w:rPr>
          <w:rFonts w:ascii="Times New Roman" w:eastAsia="Cambria" w:hAnsi="Times New Roman" w:cs="Times New Roman"/>
          <w:sz w:val="24"/>
          <w:szCs w:val="24"/>
          <w:lang w:val="en-AU" w:eastAsia="en-AU" w:bidi="ar-SA"/>
        </w:rPr>
        <w:t xml:space="preserve"> </w:t>
      </w:r>
      <w:proofErr w:type="spellStart"/>
      <w:r w:rsidRPr="00653E1C">
        <w:rPr>
          <w:rFonts w:ascii="Times New Roman" w:eastAsia="Cambria" w:hAnsi="Times New Roman" w:cs="Times New Roman"/>
          <w:sz w:val="24"/>
          <w:szCs w:val="24"/>
          <w:lang w:val="en-AU" w:eastAsia="en-AU" w:bidi="ar-SA"/>
        </w:rPr>
        <w:t>Pembayaran</w:t>
      </w:r>
      <w:proofErr w:type="spellEnd"/>
      <w:r w:rsidRPr="00653E1C">
        <w:rPr>
          <w:rFonts w:ascii="Times New Roman" w:eastAsia="Cambria" w:hAnsi="Times New Roman" w:cs="Times New Roman"/>
          <w:sz w:val="24"/>
          <w:szCs w:val="24"/>
          <w:lang w:val="en-AU" w:eastAsia="en-AU" w:bidi="ar-SA"/>
        </w:rPr>
        <w:t xml:space="preserve"> Royalti Mie Gacoan </w:t>
      </w:r>
      <w:proofErr w:type="spellStart"/>
      <w:r w:rsidRPr="00653E1C">
        <w:rPr>
          <w:rFonts w:ascii="Times New Roman" w:eastAsia="Cambria" w:hAnsi="Times New Roman" w:cs="Times New Roman"/>
          <w:sz w:val="24"/>
          <w:szCs w:val="24"/>
          <w:lang w:val="en-AU" w:eastAsia="en-AU" w:bidi="ar-SA"/>
        </w:rPr>
        <w:t>Sudah</w:t>
      </w:r>
      <w:proofErr w:type="spellEnd"/>
      <w:r w:rsidRPr="00653E1C">
        <w:rPr>
          <w:rFonts w:ascii="Times New Roman" w:eastAsia="Cambria" w:hAnsi="Times New Roman" w:cs="Times New Roman"/>
          <w:sz w:val="24"/>
          <w:szCs w:val="24"/>
          <w:lang w:val="en-AU" w:eastAsia="en-AU" w:bidi="ar-SA"/>
        </w:rPr>
        <w:t xml:space="preserve"> </w:t>
      </w:r>
      <w:proofErr w:type="spellStart"/>
      <w:r w:rsidRPr="00653E1C">
        <w:rPr>
          <w:rFonts w:ascii="Times New Roman" w:eastAsia="Cambria" w:hAnsi="Times New Roman" w:cs="Times New Roman"/>
          <w:sz w:val="24"/>
          <w:szCs w:val="24"/>
          <w:lang w:val="en-AU" w:eastAsia="en-AU" w:bidi="ar-SA"/>
        </w:rPr>
        <w:t>Dilakukan</w:t>
      </w:r>
      <w:proofErr w:type="spellEnd"/>
      <w:r w:rsidRPr="00653E1C">
        <w:rPr>
          <w:rFonts w:ascii="Times New Roman" w:eastAsia="Cambria" w:hAnsi="Times New Roman" w:cs="Times New Roman"/>
          <w:sz w:val="24"/>
          <w:szCs w:val="24"/>
          <w:lang w:val="en-AU" w:eastAsia="en-AU" w:bidi="ar-SA"/>
        </w:rPr>
        <w:t xml:space="preserve"> </w:t>
      </w:r>
      <w:proofErr w:type="spellStart"/>
      <w:r w:rsidRPr="00653E1C">
        <w:rPr>
          <w:rFonts w:ascii="Times New Roman" w:eastAsia="Cambria" w:hAnsi="Times New Roman" w:cs="Times New Roman"/>
          <w:sz w:val="24"/>
          <w:szCs w:val="24"/>
          <w:lang w:val="en-AU" w:eastAsia="en-AU" w:bidi="ar-SA"/>
        </w:rPr>
        <w:t>Sejak</w:t>
      </w:r>
      <w:proofErr w:type="spellEnd"/>
      <w:r w:rsidRPr="00653E1C">
        <w:rPr>
          <w:rFonts w:ascii="Times New Roman" w:eastAsia="Cambria" w:hAnsi="Times New Roman" w:cs="Times New Roman"/>
          <w:sz w:val="24"/>
          <w:szCs w:val="24"/>
          <w:lang w:val="en-AU" w:eastAsia="en-AU" w:bidi="ar-SA"/>
        </w:rPr>
        <w:t xml:space="preserve"> 2022." tempo.co, 21 August 2025.</w:t>
      </w:r>
    </w:p>
    <w:p w14:paraId="5135B772" w14:textId="77777777" w:rsidR="00A90240" w:rsidRPr="00653E1C" w:rsidRDefault="00A90240">
      <w:pPr>
        <w:spacing w:after="0" w:line="240" w:lineRule="auto"/>
        <w:rPr>
          <w:rFonts w:ascii="Cambria" w:eastAsia="EB Garamond" w:hAnsi="Cambria" w:cs="EB Garamond"/>
          <w:sz w:val="24"/>
          <w:szCs w:val="24"/>
          <w:lang w:val="en-AU"/>
        </w:rPr>
      </w:pPr>
    </w:p>
    <w:p w14:paraId="14CB7B44" w14:textId="77777777" w:rsidR="00A90240" w:rsidRDefault="00A90240">
      <w:pPr>
        <w:spacing w:after="0" w:line="240" w:lineRule="auto"/>
        <w:rPr>
          <w:rFonts w:ascii="EB Garamond" w:eastAsia="EB Garamond" w:hAnsi="EB Garamond" w:cs="EB Garamond"/>
          <w:sz w:val="24"/>
          <w:szCs w:val="24"/>
        </w:rPr>
      </w:pPr>
    </w:p>
    <w:p w14:paraId="5D4493ED" w14:textId="77777777" w:rsidR="00A90240" w:rsidRDefault="00A90240">
      <w:pPr>
        <w:spacing w:after="0" w:line="240" w:lineRule="auto"/>
        <w:rPr>
          <w:rFonts w:ascii="EB Garamond" w:eastAsia="EB Garamond" w:hAnsi="EB Garamond" w:cs="EB Garamond"/>
          <w:sz w:val="24"/>
          <w:szCs w:val="24"/>
        </w:rPr>
      </w:pPr>
    </w:p>
    <w:p w14:paraId="2AEBDC17" w14:textId="77777777" w:rsidR="00A90240" w:rsidRDefault="00A90240">
      <w:pPr>
        <w:spacing w:after="0" w:line="240" w:lineRule="auto"/>
        <w:rPr>
          <w:rFonts w:ascii="EB Garamond" w:eastAsia="EB Garamond" w:hAnsi="EB Garamond" w:cs="EB Garamond"/>
          <w:sz w:val="24"/>
          <w:szCs w:val="24"/>
        </w:rPr>
      </w:pPr>
    </w:p>
    <w:p w14:paraId="356734E6" w14:textId="77777777" w:rsidR="00A90240" w:rsidRDefault="00A90240">
      <w:pPr>
        <w:spacing w:after="0" w:line="240" w:lineRule="auto"/>
        <w:rPr>
          <w:rFonts w:ascii="EB Garamond" w:eastAsia="EB Garamond" w:hAnsi="EB Garamond" w:cs="EB Garamond"/>
          <w:sz w:val="24"/>
          <w:szCs w:val="24"/>
        </w:rPr>
      </w:pPr>
    </w:p>
    <w:p w14:paraId="53652D86" w14:textId="77777777" w:rsidR="00A90240" w:rsidRDefault="00A90240">
      <w:pPr>
        <w:spacing w:after="0" w:line="240" w:lineRule="auto"/>
        <w:rPr>
          <w:rFonts w:ascii="EB Garamond" w:eastAsia="EB Garamond" w:hAnsi="EB Garamond" w:cs="EB Garamond"/>
          <w:sz w:val="24"/>
          <w:szCs w:val="24"/>
        </w:rPr>
      </w:pPr>
    </w:p>
    <w:p w14:paraId="6B9062F1" w14:textId="77777777" w:rsidR="00A90240" w:rsidRDefault="00A90240">
      <w:pPr>
        <w:spacing w:after="0" w:line="240" w:lineRule="auto"/>
        <w:rPr>
          <w:rFonts w:ascii="EB Garamond" w:eastAsia="EB Garamond" w:hAnsi="EB Garamond" w:cs="EB Garamond"/>
          <w:sz w:val="24"/>
          <w:szCs w:val="24"/>
        </w:rPr>
      </w:pPr>
    </w:p>
    <w:p w14:paraId="1D309BA8" w14:textId="77777777" w:rsidR="00A90240" w:rsidRDefault="00A90240">
      <w:pPr>
        <w:spacing w:after="0" w:line="240" w:lineRule="auto"/>
        <w:rPr>
          <w:rFonts w:ascii="EB Garamond" w:eastAsia="EB Garamond" w:hAnsi="EB Garamond" w:cs="EB Garamond"/>
          <w:sz w:val="24"/>
          <w:szCs w:val="24"/>
        </w:rPr>
      </w:pPr>
    </w:p>
    <w:sectPr w:rsidR="00A90240" w:rsidSect="006E68E3">
      <w:headerReference w:type="even" r:id="rId11"/>
      <w:headerReference w:type="default" r:id="rId12"/>
      <w:footerReference w:type="even" r:id="rId13"/>
      <w:footerReference w:type="default" r:id="rId14"/>
      <w:headerReference w:type="first" r:id="rId15"/>
      <w:footerReference w:type="first" r:id="rId16"/>
      <w:pgSz w:w="11906" w:h="16838"/>
      <w:pgMar w:top="1701" w:right="1701" w:bottom="1701" w:left="1701" w:header="720" w:footer="720" w:gutter="0"/>
      <w:pgNumType w:start="49"/>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CF848" w14:textId="77777777" w:rsidR="00A42D11" w:rsidRDefault="00A42D11">
      <w:pPr>
        <w:spacing w:line="240" w:lineRule="auto"/>
      </w:pPr>
      <w:r>
        <w:separator/>
      </w:r>
    </w:p>
  </w:endnote>
  <w:endnote w:type="continuationSeparator" w:id="0">
    <w:p w14:paraId="44971990" w14:textId="77777777" w:rsidR="00A42D11" w:rsidRDefault="00A42D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7E5EB61-A2D6-4966-9DA9-A8EBAD201CD8}"/>
    <w:embedBold r:id="rId2" w:fontKey="{4BADCD39-38E0-4030-BAB5-F11CFF4C9EA4}"/>
    <w:embedItalic r:id="rId3" w:fontKey="{9DFED2C9-EB52-40F0-96F0-5A525C431E5F}"/>
    <w:embedBoldItalic r:id="rId4" w:fontKey="{777062D1-4CE6-49BE-A43C-AFC3DE35F45C}"/>
  </w:font>
  <w:font w:name="Times New Roman Bold">
    <w:panose1 w:val="02020803070505020304"/>
    <w:charset w:val="00"/>
    <w:family w:val="roman"/>
    <w:notTrueType/>
    <w:pitch w:val="default"/>
    <w:embedRegular r:id="rId5" w:fontKey="{376F2DBD-4C76-4890-9C73-13416EE2290B}"/>
    <w:embedBold r:id="rId6" w:fontKey="{7A3178F2-949F-4E1D-A43D-1779D7AE38B6}"/>
  </w:font>
  <w:font w:name="Tahoma">
    <w:panose1 w:val="020B0604030504040204"/>
    <w:charset w:val="00"/>
    <w:family w:val="swiss"/>
    <w:pitch w:val="variable"/>
    <w:sig w:usb0="E1002EFF" w:usb1="C000605B" w:usb2="00000029" w:usb3="00000000" w:csb0="000101FF" w:csb1="00000000"/>
    <w:embedRegular r:id="rId7" w:fontKey="{324A232D-E566-4ABF-B2D6-3FF2347BDD4C}"/>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8" w:fontKey="{F1C1DED7-39AC-482E-84A6-D56E3A2AB3FB}"/>
    <w:embedItalic r:id="rId9" w:fontKey="{7CA93033-8EDE-4B21-A7A5-6A38BD5FF778}"/>
  </w:font>
  <w:font w:name="Cambria">
    <w:panose1 w:val="02040503050406030204"/>
    <w:charset w:val="00"/>
    <w:family w:val="roman"/>
    <w:pitch w:val="variable"/>
    <w:sig w:usb0="E00006FF" w:usb1="420024FF" w:usb2="02000000" w:usb3="00000000" w:csb0="0000019F" w:csb1="00000000"/>
    <w:embedRegular r:id="rId10" w:fontKey="{4CE746A6-FB2C-4E26-93D2-59707D643DCB}"/>
    <w:embedBold r:id="rId11" w:fontKey="{4BDF9A2D-B5AE-43CC-A202-DD23988D8DBB}"/>
    <w:embedItalic r:id="rId12" w:fontKey="{49923764-E7C3-43EB-8DDE-6EBBF908C414}"/>
    <w:embedBoldItalic r:id="rId13" w:fontKey="{3050D2C8-7D2E-4910-A88E-377732A76561}"/>
  </w:font>
  <w:font w:name="Arial Unicode MS">
    <w:panose1 w:val="020B0604020202020204"/>
    <w:charset w:val="00"/>
    <w:family w:val="roman"/>
    <w:pitch w:val="variable"/>
    <w:sig w:usb0="00000003" w:usb1="00000000" w:usb2="00000000" w:usb3="00000000" w:csb0="00000001" w:csb1="00000000"/>
  </w:font>
  <w:font w:name="Vrinda">
    <w:panose1 w:val="00000400000000000000"/>
    <w:charset w:val="00"/>
    <w:family w:val="swiss"/>
    <w:pitch w:val="variable"/>
    <w:sig w:usb0="00010003" w:usb1="00000000" w:usb2="00000000" w:usb3="00000000" w:csb0="00000001" w:csb1="00000000"/>
    <w:embedRegular r:id="rId14" w:fontKey="{6165EA79-A65E-4165-B74C-F297EFF92B79}"/>
  </w:font>
  <w:font w:name="Helvetica">
    <w:panose1 w:val="020B0604020202020204"/>
    <w:charset w:val="00"/>
    <w:family w:val="swiss"/>
    <w:pitch w:val="variable"/>
    <w:sig w:usb0="E0002EFF" w:usb1="C000785B" w:usb2="00000009" w:usb3="00000000" w:csb0="000001FF" w:csb1="00000000"/>
    <w:embedRegular r:id="rId15" w:fontKey="{CD8EB5A4-AE55-4DEB-A956-D5D2CC41B2B5}"/>
  </w:font>
  <w:font w:name="Calibri Light">
    <w:panose1 w:val="020F0302020204030204"/>
    <w:charset w:val="00"/>
    <w:family w:val="swiss"/>
    <w:pitch w:val="variable"/>
    <w:sig w:usb0="E4002EFF" w:usb1="C200247B" w:usb2="00000009" w:usb3="00000000" w:csb0="000001FF" w:csb1="00000000"/>
    <w:embedRegular r:id="rId16" w:fontKey="{9B87A1DD-48C1-4716-A464-6EF11F7523C1}"/>
    <w:embedItalic r:id="rId17" w:fontKey="{C81A2475-6B22-4F61-820F-8892A85A3C4A}"/>
  </w:font>
  <w:font w:name="EB Garamond">
    <w:charset w:val="00"/>
    <w:family w:val="auto"/>
    <w:pitch w:val="variable"/>
    <w:sig w:usb0="E00002FF" w:usb1="02000413" w:usb2="00000000" w:usb3="00000000" w:csb0="0000019F" w:csb1="00000000"/>
    <w:embedRegular r:id="rId18" w:fontKey="{38890D24-1E76-4006-AEA1-6A181D5725D9}"/>
    <w:embedBold r:id="rId19" w:fontKey="{8BE5E81D-9617-44A7-8D73-C9B1BB9B59F9}"/>
    <w:embedItalic r:id="rId20" w:fontKey="{E787EB80-753F-4A13-A29C-4A33AB86FD9F}"/>
    <w:embedBoldItalic r:id="rId21" w:fontKey="{E8135EAC-4C40-4684-B03A-E5C067D91B22}"/>
  </w:font>
  <w:font w:name="Arial">
    <w:panose1 w:val="020B0604020202020204"/>
    <w:charset w:val="00"/>
    <w:family w:val="swiss"/>
    <w:pitch w:val="variable"/>
    <w:sig w:usb0="E0002EFF" w:usb1="C000785B" w:usb2="00000009" w:usb3="00000000" w:csb0="000001FF" w:csb1="00000000"/>
  </w:font>
  <w:font w:name="Bodoni Bd BT">
    <w:altName w:val="Cambria"/>
    <w:panose1 w:val="02070803080706020303"/>
    <w:charset w:val="00"/>
    <w:family w:val="roman"/>
    <w:pitch w:val="variable"/>
    <w:sig w:usb0="800000AF" w:usb1="1000204A" w:usb2="00000000" w:usb3="00000000" w:csb0="00000011" w:csb1="00000000"/>
    <w:embedBoldItalic r:id="rId22" w:fontKey="{92FDBF97-EB66-4B6C-B084-4A73F27C5209}"/>
  </w:font>
  <w:font w:name="Libre Baskerville">
    <w:charset w:val="00"/>
    <w:family w:val="auto"/>
    <w:pitch w:val="variable"/>
    <w:sig w:usb0="A00000BF" w:usb1="5000005B" w:usb2="00000000" w:usb3="00000000" w:csb0="00000093" w:csb1="00000000"/>
    <w:embedRegular r:id="rId23" w:fontKey="{5AADF759-47A8-4602-887B-12AD7401C702}"/>
    <w:embedBoldItalic r:id="rId24" w:fontKey="{53476C12-F790-41D2-A845-9842C2889861}"/>
  </w:font>
  <w:font w:name="High Tower Text">
    <w:panose1 w:val="02040502050506030303"/>
    <w:charset w:val="00"/>
    <w:family w:val="roman"/>
    <w:pitch w:val="variable"/>
    <w:sig w:usb0="00000003" w:usb1="00000000" w:usb2="00000000" w:usb3="00000000" w:csb0="00000001" w:csb1="00000000"/>
    <w:embedBoldItalic r:id="rId25" w:fontKey="{02B484B4-2149-42E8-8CAF-95717776937E}"/>
  </w:font>
  <w:font w:name="DengXian Light">
    <w:panose1 w:val="02010600030101010101"/>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D6AE3" w14:textId="77777777" w:rsidR="00A90240" w:rsidRDefault="00A90240">
    <w:pPr>
      <w:tabs>
        <w:tab w:val="center" w:pos="4680"/>
        <w:tab w:val="right" w:pos="9360"/>
      </w:tabs>
      <w:spacing w:after="0" w:line="240" w:lineRule="auto"/>
      <w:rPr>
        <w:rFonts w:ascii="EB Garamond" w:eastAsia="EB Garamond" w:hAnsi="EB Garamond" w:cs="EB Garamond"/>
        <w:color w:val="000000"/>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E09E6" w14:textId="77777777" w:rsidR="00A90240" w:rsidRDefault="00000000">
    <w:pPr>
      <w:pStyle w:val="Footer"/>
      <w:tabs>
        <w:tab w:val="clear" w:pos="4680"/>
        <w:tab w:val="clear" w:pos="9360"/>
      </w:tabs>
      <w:jc w:val="center"/>
      <w:rPr>
        <w:rFonts w:ascii="Cambria" w:hAnsi="Cambria"/>
        <w:b/>
        <w:bCs/>
        <w:caps/>
        <w:color w:val="215B57"/>
      </w:rPr>
    </w:pPr>
    <w:r>
      <w:rPr>
        <w:rFonts w:ascii="Cambria" w:hAnsi="Cambria"/>
        <w:b/>
        <w:bCs/>
        <w:caps/>
        <w:color w:val="215B57"/>
      </w:rPr>
      <w:fldChar w:fldCharType="begin"/>
    </w:r>
    <w:r>
      <w:rPr>
        <w:rFonts w:ascii="Cambria" w:hAnsi="Cambria"/>
        <w:b/>
        <w:bCs/>
        <w:caps/>
        <w:color w:val="215B57"/>
      </w:rPr>
      <w:instrText>PAGE   \* MERGEFORMAT</w:instrText>
    </w:r>
    <w:r>
      <w:rPr>
        <w:rFonts w:ascii="Cambria" w:hAnsi="Cambria"/>
        <w:b/>
        <w:bCs/>
        <w:caps/>
        <w:color w:val="215B57"/>
      </w:rPr>
      <w:fldChar w:fldCharType="separate"/>
    </w:r>
    <w:r>
      <w:rPr>
        <w:rFonts w:ascii="Cambria" w:hAnsi="Cambria"/>
        <w:b/>
        <w:bCs/>
        <w:caps/>
        <w:color w:val="215B57"/>
        <w:lang w:val="id-ID"/>
      </w:rPr>
      <w:t>2</w:t>
    </w:r>
    <w:r>
      <w:rPr>
        <w:rFonts w:ascii="Cambria" w:hAnsi="Cambria"/>
        <w:b/>
        <w:bCs/>
        <w:caps/>
        <w:color w:val="215B57"/>
      </w:rPr>
      <w:fldChar w:fldCharType="end"/>
    </w:r>
  </w:p>
  <w:p w14:paraId="368E84C9" w14:textId="77777777" w:rsidR="00A90240" w:rsidRDefault="00A90240">
    <w:pPr>
      <w:tabs>
        <w:tab w:val="center" w:pos="4680"/>
        <w:tab w:val="right" w:pos="9360"/>
      </w:tabs>
      <w:spacing w:after="0" w:line="240" w:lineRule="auto"/>
      <w:rPr>
        <w:rFonts w:ascii="EB Garamond" w:eastAsia="EB Garamond" w:hAnsi="EB Garamond" w:cs="EB Garamond"/>
        <w:color w:val="C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85F45" w14:textId="77777777" w:rsidR="00A90240" w:rsidRDefault="00000000">
    <w:pPr>
      <w:pStyle w:val="Footer"/>
      <w:tabs>
        <w:tab w:val="clear" w:pos="4680"/>
        <w:tab w:val="clear" w:pos="9360"/>
      </w:tabs>
      <w:jc w:val="center"/>
      <w:rPr>
        <w:rFonts w:ascii="Cambria" w:hAnsi="Cambria"/>
        <w:b/>
        <w:bCs/>
        <w:caps/>
        <w:color w:val="215B57"/>
      </w:rPr>
    </w:pPr>
    <w:r>
      <w:rPr>
        <w:rFonts w:ascii="Cambria" w:hAnsi="Cambria"/>
        <w:b/>
        <w:bCs/>
        <w:caps/>
        <w:color w:val="215B57"/>
      </w:rPr>
      <w:fldChar w:fldCharType="begin"/>
    </w:r>
    <w:r>
      <w:rPr>
        <w:rFonts w:ascii="Cambria" w:hAnsi="Cambria"/>
        <w:b/>
        <w:bCs/>
        <w:caps/>
        <w:color w:val="215B57"/>
      </w:rPr>
      <w:instrText>PAGE   \* MERGEFORMAT</w:instrText>
    </w:r>
    <w:r>
      <w:rPr>
        <w:rFonts w:ascii="Cambria" w:hAnsi="Cambria"/>
        <w:b/>
        <w:bCs/>
        <w:caps/>
        <w:color w:val="215B57"/>
      </w:rPr>
      <w:fldChar w:fldCharType="separate"/>
    </w:r>
    <w:r>
      <w:rPr>
        <w:rFonts w:ascii="Cambria" w:hAnsi="Cambria"/>
        <w:b/>
        <w:bCs/>
        <w:caps/>
        <w:color w:val="215B57"/>
        <w:lang w:val="id-ID"/>
      </w:rPr>
      <w:t>2</w:t>
    </w:r>
    <w:r>
      <w:rPr>
        <w:rFonts w:ascii="Cambria" w:hAnsi="Cambria"/>
        <w:b/>
        <w:bCs/>
        <w:caps/>
        <w:color w:val="215B57"/>
      </w:rPr>
      <w:fldChar w:fldCharType="end"/>
    </w:r>
  </w:p>
  <w:p w14:paraId="2BEBBBED" w14:textId="77777777" w:rsidR="00A90240" w:rsidRDefault="00A90240">
    <w:pPr>
      <w:tabs>
        <w:tab w:val="center" w:pos="4680"/>
        <w:tab w:val="right" w:pos="9360"/>
      </w:tabs>
      <w:spacing w:after="0" w:line="240" w:lineRule="auto"/>
      <w:rPr>
        <w:color w:val="C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D1CAD5" w14:textId="77777777" w:rsidR="00A42D11" w:rsidRDefault="00A42D11">
      <w:pPr>
        <w:spacing w:after="0"/>
      </w:pPr>
      <w:r>
        <w:separator/>
      </w:r>
    </w:p>
  </w:footnote>
  <w:footnote w:type="continuationSeparator" w:id="0">
    <w:p w14:paraId="41B662F9" w14:textId="77777777" w:rsidR="00A42D11" w:rsidRDefault="00A42D11">
      <w:pPr>
        <w:spacing w:after="0"/>
      </w:pPr>
      <w:r>
        <w:continuationSeparator/>
      </w:r>
    </w:p>
  </w:footnote>
  <w:footnote w:id="1">
    <w:p w14:paraId="426EDCB0" w14:textId="77777777" w:rsidR="00F926A9" w:rsidRPr="00F926A9" w:rsidRDefault="00F926A9" w:rsidP="00F926A9">
      <w:pPr>
        <w:spacing w:line="240" w:lineRule="auto"/>
        <w:jc w:val="both"/>
        <w:rPr>
          <w:rFonts w:ascii="Cambria" w:hAnsi="Cambria" w:cs="Cambria"/>
          <w:sz w:val="18"/>
          <w:szCs w:val="18"/>
          <w:lang w:val="en-AU" w:eastAsia="en-AU"/>
        </w:rPr>
      </w:pPr>
      <w:r w:rsidRPr="00F926A9">
        <w:rPr>
          <w:rStyle w:val="FootnoteReference"/>
          <w:rFonts w:ascii="Cambria" w:hAnsi="Cambria"/>
          <w:sz w:val="18"/>
          <w:szCs w:val="18"/>
        </w:rPr>
        <w:footnoteRef/>
      </w:r>
      <w:r w:rsidRPr="00F926A9">
        <w:rPr>
          <w:rFonts w:ascii="Cambria" w:hAnsi="Cambria"/>
          <w:sz w:val="18"/>
          <w:szCs w:val="18"/>
        </w:rPr>
        <w:t xml:space="preserve">Republic of Indonesia, </w:t>
      </w:r>
      <w:r w:rsidRPr="00F926A9">
        <w:rPr>
          <w:rFonts w:ascii="Cambria" w:hAnsi="Cambria"/>
          <w:i/>
          <w:iCs/>
          <w:sz w:val="18"/>
          <w:szCs w:val="18"/>
        </w:rPr>
        <w:t>Law Number 28 of 2014 on Copyright</w:t>
      </w:r>
      <w:r w:rsidRPr="00F926A9">
        <w:rPr>
          <w:rFonts w:ascii="Cambria" w:hAnsi="Cambria"/>
          <w:sz w:val="18"/>
          <w:szCs w:val="18"/>
        </w:rPr>
        <w:t>, State Gazette of the Republic of Indonesia of 2014 Number 266, Supplement to the State Gazette Number 5599.</w:t>
      </w:r>
    </w:p>
  </w:footnote>
  <w:footnote w:id="2">
    <w:p w14:paraId="32152F4B" w14:textId="77777777" w:rsidR="00F926A9" w:rsidRPr="00F926A9" w:rsidRDefault="00F926A9" w:rsidP="00F926A9">
      <w:pPr>
        <w:spacing w:after="0" w:line="240" w:lineRule="auto"/>
        <w:jc w:val="both"/>
        <w:rPr>
          <w:rFonts w:ascii="Cambria" w:hAnsi="Cambria"/>
          <w:sz w:val="18"/>
          <w:szCs w:val="18"/>
        </w:rPr>
      </w:pPr>
      <w:r w:rsidRPr="00F926A9">
        <w:rPr>
          <w:rStyle w:val="FootnoteReference"/>
          <w:rFonts w:ascii="Cambria" w:hAnsi="Cambria"/>
          <w:sz w:val="18"/>
          <w:szCs w:val="18"/>
        </w:rPr>
        <w:footnoteRef/>
      </w:r>
      <w:r w:rsidRPr="00F926A9">
        <w:rPr>
          <w:rFonts w:ascii="Cambria" w:hAnsi="Cambria"/>
          <w:sz w:val="18"/>
          <w:szCs w:val="18"/>
        </w:rPr>
        <w:t xml:space="preserve">Republic of Indonesia, </w:t>
      </w:r>
      <w:r w:rsidRPr="00F926A9">
        <w:rPr>
          <w:rFonts w:ascii="Cambria" w:hAnsi="Cambria"/>
          <w:i/>
          <w:iCs/>
          <w:sz w:val="18"/>
          <w:szCs w:val="18"/>
        </w:rPr>
        <w:t>Government Regulation Number 56 of 2021 on the Management of Song and/or Music Copyright Royalties</w:t>
      </w:r>
      <w:r w:rsidRPr="00F926A9">
        <w:rPr>
          <w:rFonts w:ascii="Cambria" w:hAnsi="Cambria"/>
          <w:sz w:val="18"/>
          <w:szCs w:val="18"/>
        </w:rPr>
        <w:t>, State Gazette of the Republic of Indonesia of 2021 Number 86, Supplement to the State Gazette Number 6664, Article 3 paragraph (2) letter b.</w:t>
      </w:r>
    </w:p>
  </w:footnote>
  <w:footnote w:id="3">
    <w:p w14:paraId="71C4248A" w14:textId="77777777" w:rsidR="00F926A9" w:rsidRPr="00F926A9" w:rsidRDefault="00F926A9" w:rsidP="00F926A9">
      <w:pPr>
        <w:spacing w:after="0" w:line="240" w:lineRule="auto"/>
        <w:jc w:val="both"/>
        <w:rPr>
          <w:rFonts w:ascii="Cambria" w:hAnsi="Cambria"/>
          <w:sz w:val="18"/>
          <w:szCs w:val="18"/>
        </w:rPr>
      </w:pPr>
      <w:r w:rsidRPr="00F926A9">
        <w:rPr>
          <w:rStyle w:val="FootnoteReference"/>
          <w:rFonts w:ascii="Cambria" w:hAnsi="Cambria"/>
          <w:sz w:val="18"/>
          <w:szCs w:val="18"/>
        </w:rPr>
        <w:footnoteRef/>
      </w:r>
      <w:proofErr w:type="spellStart"/>
      <w:r w:rsidRPr="00F926A9">
        <w:rPr>
          <w:rFonts w:ascii="Cambria" w:hAnsi="Cambria"/>
          <w:sz w:val="18"/>
          <w:szCs w:val="18"/>
        </w:rPr>
        <w:t>Direktorat</w:t>
      </w:r>
      <w:proofErr w:type="spellEnd"/>
      <w:r w:rsidRPr="00F926A9">
        <w:rPr>
          <w:rFonts w:ascii="Cambria" w:hAnsi="Cambria"/>
          <w:sz w:val="18"/>
          <w:szCs w:val="18"/>
        </w:rPr>
        <w:t xml:space="preserve"> </w:t>
      </w:r>
      <w:proofErr w:type="spellStart"/>
      <w:r w:rsidRPr="00F926A9">
        <w:rPr>
          <w:rFonts w:ascii="Cambria" w:hAnsi="Cambria"/>
          <w:sz w:val="18"/>
          <w:szCs w:val="18"/>
        </w:rPr>
        <w:t>Jenderal</w:t>
      </w:r>
      <w:proofErr w:type="spellEnd"/>
      <w:r w:rsidRPr="00F926A9">
        <w:rPr>
          <w:rFonts w:ascii="Cambria" w:hAnsi="Cambria"/>
          <w:sz w:val="18"/>
          <w:szCs w:val="18"/>
        </w:rPr>
        <w:t xml:space="preserve"> </w:t>
      </w:r>
      <w:proofErr w:type="spellStart"/>
      <w:r w:rsidRPr="00F926A9">
        <w:rPr>
          <w:rFonts w:ascii="Cambria" w:hAnsi="Cambria"/>
          <w:sz w:val="18"/>
          <w:szCs w:val="18"/>
        </w:rPr>
        <w:t>Kekayaan</w:t>
      </w:r>
      <w:proofErr w:type="spellEnd"/>
      <w:r w:rsidRPr="00F926A9">
        <w:rPr>
          <w:rFonts w:ascii="Cambria" w:hAnsi="Cambria"/>
          <w:sz w:val="18"/>
          <w:szCs w:val="18"/>
        </w:rPr>
        <w:t xml:space="preserve"> </w:t>
      </w:r>
      <w:proofErr w:type="spellStart"/>
      <w:r w:rsidRPr="00F926A9">
        <w:rPr>
          <w:rFonts w:ascii="Cambria" w:hAnsi="Cambria"/>
          <w:sz w:val="18"/>
          <w:szCs w:val="18"/>
        </w:rPr>
        <w:t>Intelektual</w:t>
      </w:r>
      <w:proofErr w:type="spellEnd"/>
      <w:r w:rsidRPr="00F926A9">
        <w:rPr>
          <w:rFonts w:ascii="Cambria" w:hAnsi="Cambria"/>
          <w:sz w:val="18"/>
          <w:szCs w:val="18"/>
        </w:rPr>
        <w:t xml:space="preserve">, "LMKN </w:t>
      </w:r>
      <w:proofErr w:type="spellStart"/>
      <w:r w:rsidRPr="00F926A9">
        <w:rPr>
          <w:rFonts w:ascii="Cambria" w:hAnsi="Cambria"/>
          <w:sz w:val="18"/>
          <w:szCs w:val="18"/>
        </w:rPr>
        <w:t>Cetak</w:t>
      </w:r>
      <w:proofErr w:type="spellEnd"/>
      <w:r w:rsidRPr="00F926A9">
        <w:rPr>
          <w:rFonts w:ascii="Cambria" w:hAnsi="Cambria"/>
          <w:sz w:val="18"/>
          <w:szCs w:val="18"/>
        </w:rPr>
        <w:t xml:space="preserve"> </w:t>
      </w:r>
      <w:proofErr w:type="spellStart"/>
      <w:r w:rsidRPr="00F926A9">
        <w:rPr>
          <w:rFonts w:ascii="Cambria" w:hAnsi="Cambria"/>
          <w:sz w:val="18"/>
          <w:szCs w:val="18"/>
        </w:rPr>
        <w:t>Rekor</w:t>
      </w:r>
      <w:proofErr w:type="spellEnd"/>
      <w:r w:rsidRPr="00F926A9">
        <w:rPr>
          <w:rFonts w:ascii="Cambria" w:hAnsi="Cambria"/>
          <w:sz w:val="18"/>
          <w:szCs w:val="18"/>
        </w:rPr>
        <w:t xml:space="preserve"> Royalti, DJKI </w:t>
      </w:r>
      <w:proofErr w:type="spellStart"/>
      <w:r w:rsidRPr="00F926A9">
        <w:rPr>
          <w:rFonts w:ascii="Cambria" w:hAnsi="Cambria"/>
          <w:sz w:val="18"/>
          <w:szCs w:val="18"/>
        </w:rPr>
        <w:t>Aktif</w:t>
      </w:r>
      <w:proofErr w:type="spellEnd"/>
      <w:r w:rsidRPr="00F926A9">
        <w:rPr>
          <w:rFonts w:ascii="Cambria" w:hAnsi="Cambria"/>
          <w:sz w:val="18"/>
          <w:szCs w:val="18"/>
        </w:rPr>
        <w:t xml:space="preserve"> </w:t>
      </w:r>
      <w:proofErr w:type="spellStart"/>
      <w:r w:rsidRPr="00F926A9">
        <w:rPr>
          <w:rFonts w:ascii="Cambria" w:hAnsi="Cambria"/>
          <w:sz w:val="18"/>
          <w:szCs w:val="18"/>
        </w:rPr>
        <w:t>Dorong</w:t>
      </w:r>
      <w:proofErr w:type="spellEnd"/>
      <w:r w:rsidRPr="00F926A9">
        <w:rPr>
          <w:rFonts w:ascii="Cambria" w:hAnsi="Cambria"/>
          <w:sz w:val="18"/>
          <w:szCs w:val="18"/>
        </w:rPr>
        <w:t xml:space="preserve"> </w:t>
      </w:r>
      <w:proofErr w:type="spellStart"/>
      <w:r w:rsidRPr="00F926A9">
        <w:rPr>
          <w:rFonts w:ascii="Cambria" w:hAnsi="Cambria"/>
          <w:sz w:val="18"/>
          <w:szCs w:val="18"/>
        </w:rPr>
        <w:t>Transparansi</w:t>
      </w:r>
      <w:proofErr w:type="spellEnd"/>
      <w:r w:rsidRPr="00F926A9">
        <w:rPr>
          <w:rFonts w:ascii="Cambria" w:hAnsi="Cambria"/>
          <w:sz w:val="18"/>
          <w:szCs w:val="18"/>
        </w:rPr>
        <w:t xml:space="preserve"> dan Penguatan </w:t>
      </w:r>
      <w:proofErr w:type="spellStart"/>
      <w:r w:rsidRPr="00F926A9">
        <w:rPr>
          <w:rFonts w:ascii="Cambria" w:hAnsi="Cambria"/>
          <w:sz w:val="18"/>
          <w:szCs w:val="18"/>
        </w:rPr>
        <w:t>Sistem</w:t>
      </w:r>
      <w:proofErr w:type="spellEnd"/>
      <w:r w:rsidRPr="00F926A9">
        <w:rPr>
          <w:rFonts w:ascii="Cambria" w:hAnsi="Cambria"/>
          <w:sz w:val="18"/>
          <w:szCs w:val="18"/>
        </w:rPr>
        <w:t xml:space="preserve"> Hak Cipta," dgip.go.id, 2025, https://www.dgip.go.id/artikel/detail-artikel-berita/lmkn-cetak-rekor-royalti-djki-aktif-dorong-transparansi-dan-penguatan-sistem-hak-cipta.</w:t>
      </w:r>
    </w:p>
  </w:footnote>
  <w:footnote w:id="4">
    <w:p w14:paraId="0CBAA93D" w14:textId="77777777" w:rsidR="00F926A9" w:rsidRPr="00F926A9" w:rsidRDefault="00F926A9" w:rsidP="00F926A9">
      <w:pPr>
        <w:spacing w:after="0" w:line="240" w:lineRule="auto"/>
        <w:jc w:val="both"/>
        <w:rPr>
          <w:rFonts w:ascii="Cambria" w:hAnsi="Cambria"/>
          <w:sz w:val="18"/>
          <w:szCs w:val="18"/>
        </w:rPr>
      </w:pPr>
      <w:r w:rsidRPr="00F926A9">
        <w:rPr>
          <w:rStyle w:val="FootnoteReference"/>
          <w:rFonts w:ascii="Cambria" w:hAnsi="Cambria"/>
          <w:sz w:val="18"/>
          <w:szCs w:val="18"/>
        </w:rPr>
        <w:footnoteRef/>
      </w:r>
      <w:r w:rsidRPr="00F926A9">
        <w:rPr>
          <w:rFonts w:ascii="Cambria" w:hAnsi="Cambria"/>
          <w:sz w:val="18"/>
          <w:szCs w:val="18"/>
        </w:rPr>
        <w:t>Tempo.co, "</w:t>
      </w:r>
      <w:proofErr w:type="spellStart"/>
      <w:r w:rsidRPr="00F926A9">
        <w:rPr>
          <w:rFonts w:ascii="Cambria" w:hAnsi="Cambria"/>
          <w:sz w:val="18"/>
          <w:szCs w:val="18"/>
        </w:rPr>
        <w:t>Penagihan</w:t>
      </w:r>
      <w:proofErr w:type="spellEnd"/>
      <w:r w:rsidRPr="00F926A9">
        <w:rPr>
          <w:rFonts w:ascii="Cambria" w:hAnsi="Cambria"/>
          <w:sz w:val="18"/>
          <w:szCs w:val="18"/>
        </w:rPr>
        <w:t xml:space="preserve"> </w:t>
      </w:r>
      <w:proofErr w:type="spellStart"/>
      <w:r w:rsidRPr="00F926A9">
        <w:rPr>
          <w:rFonts w:ascii="Cambria" w:hAnsi="Cambria"/>
          <w:sz w:val="18"/>
          <w:szCs w:val="18"/>
        </w:rPr>
        <w:t>Pembayaran</w:t>
      </w:r>
      <w:proofErr w:type="spellEnd"/>
      <w:r w:rsidRPr="00F926A9">
        <w:rPr>
          <w:rFonts w:ascii="Cambria" w:hAnsi="Cambria"/>
          <w:sz w:val="18"/>
          <w:szCs w:val="18"/>
        </w:rPr>
        <w:t xml:space="preserve"> Royalti Mie Gacoan </w:t>
      </w:r>
      <w:proofErr w:type="spellStart"/>
      <w:r w:rsidRPr="00F926A9">
        <w:rPr>
          <w:rFonts w:ascii="Cambria" w:hAnsi="Cambria"/>
          <w:sz w:val="18"/>
          <w:szCs w:val="18"/>
        </w:rPr>
        <w:t>Sudah</w:t>
      </w:r>
      <w:proofErr w:type="spellEnd"/>
      <w:r w:rsidRPr="00F926A9">
        <w:rPr>
          <w:rFonts w:ascii="Cambria" w:hAnsi="Cambria"/>
          <w:sz w:val="18"/>
          <w:szCs w:val="18"/>
        </w:rPr>
        <w:t xml:space="preserve"> </w:t>
      </w:r>
      <w:proofErr w:type="spellStart"/>
      <w:r w:rsidRPr="00F926A9">
        <w:rPr>
          <w:rFonts w:ascii="Cambria" w:hAnsi="Cambria"/>
          <w:sz w:val="18"/>
          <w:szCs w:val="18"/>
        </w:rPr>
        <w:t>Dilakukan</w:t>
      </w:r>
      <w:proofErr w:type="spellEnd"/>
      <w:r w:rsidRPr="00F926A9">
        <w:rPr>
          <w:rFonts w:ascii="Cambria" w:hAnsi="Cambria"/>
          <w:sz w:val="18"/>
          <w:szCs w:val="18"/>
        </w:rPr>
        <w:t xml:space="preserve"> </w:t>
      </w:r>
      <w:proofErr w:type="spellStart"/>
      <w:r w:rsidRPr="00F926A9">
        <w:rPr>
          <w:rFonts w:ascii="Cambria" w:hAnsi="Cambria"/>
          <w:sz w:val="18"/>
          <w:szCs w:val="18"/>
        </w:rPr>
        <w:t>Sejak</w:t>
      </w:r>
      <w:proofErr w:type="spellEnd"/>
      <w:r w:rsidRPr="00F926A9">
        <w:rPr>
          <w:rFonts w:ascii="Cambria" w:hAnsi="Cambria"/>
          <w:sz w:val="18"/>
          <w:szCs w:val="18"/>
        </w:rPr>
        <w:t xml:space="preserve"> 2022," tempo.co, 21 August 2025, https://www.tempo.co/hukum/penagihan-pembayaran-royalti-mie-gacoan-sudah-dilakukan-sejak-2022-2049120.</w:t>
      </w:r>
    </w:p>
  </w:footnote>
  <w:footnote w:id="5">
    <w:p w14:paraId="6FFB3A3C" w14:textId="77777777" w:rsidR="00F926A9" w:rsidRDefault="00F926A9" w:rsidP="00F926A9">
      <w:pPr>
        <w:spacing w:after="0" w:line="240" w:lineRule="auto"/>
        <w:jc w:val="both"/>
      </w:pPr>
      <w:r w:rsidRPr="00F926A9">
        <w:rPr>
          <w:rStyle w:val="FootnoteReference"/>
          <w:rFonts w:ascii="Cambria" w:hAnsi="Cambria"/>
          <w:sz w:val="18"/>
          <w:szCs w:val="18"/>
        </w:rPr>
        <w:footnoteRef/>
      </w:r>
      <w:proofErr w:type="spellStart"/>
      <w:r w:rsidRPr="00F926A9">
        <w:rPr>
          <w:rFonts w:ascii="Cambria" w:hAnsi="Cambria"/>
          <w:sz w:val="18"/>
          <w:szCs w:val="18"/>
        </w:rPr>
        <w:t>NusaBali</w:t>
      </w:r>
      <w:proofErr w:type="spellEnd"/>
      <w:r w:rsidRPr="00F926A9">
        <w:rPr>
          <w:rFonts w:ascii="Cambria" w:hAnsi="Cambria"/>
          <w:sz w:val="18"/>
          <w:szCs w:val="18"/>
        </w:rPr>
        <w:t xml:space="preserve">, "Royalti Rp 2,2 </w:t>
      </w:r>
      <w:proofErr w:type="spellStart"/>
      <w:r w:rsidRPr="00F926A9">
        <w:rPr>
          <w:rFonts w:ascii="Cambria" w:hAnsi="Cambria"/>
          <w:sz w:val="18"/>
          <w:szCs w:val="18"/>
        </w:rPr>
        <w:t>Miliar</w:t>
      </w:r>
      <w:proofErr w:type="spellEnd"/>
      <w:r w:rsidRPr="00F926A9">
        <w:rPr>
          <w:rFonts w:ascii="Cambria" w:hAnsi="Cambria"/>
          <w:sz w:val="18"/>
          <w:szCs w:val="18"/>
        </w:rPr>
        <w:t xml:space="preserve"> </w:t>
      </w:r>
      <w:proofErr w:type="spellStart"/>
      <w:r w:rsidRPr="00F926A9">
        <w:rPr>
          <w:rFonts w:ascii="Cambria" w:hAnsi="Cambria"/>
          <w:sz w:val="18"/>
          <w:szCs w:val="18"/>
        </w:rPr>
        <w:t>Dibayarkan</w:t>
      </w:r>
      <w:proofErr w:type="spellEnd"/>
      <w:r w:rsidRPr="00F926A9">
        <w:rPr>
          <w:rFonts w:ascii="Cambria" w:hAnsi="Cambria"/>
          <w:sz w:val="18"/>
          <w:szCs w:val="18"/>
        </w:rPr>
        <w:t xml:space="preserve">, Mie </w:t>
      </w:r>
      <w:proofErr w:type="spellStart"/>
      <w:r w:rsidRPr="00F926A9">
        <w:rPr>
          <w:rFonts w:ascii="Cambria" w:hAnsi="Cambria"/>
          <w:sz w:val="18"/>
          <w:szCs w:val="18"/>
        </w:rPr>
        <w:t>Gacoan</w:t>
      </w:r>
      <w:proofErr w:type="spellEnd"/>
      <w:r w:rsidRPr="00F926A9">
        <w:rPr>
          <w:rFonts w:ascii="Cambria" w:hAnsi="Cambria"/>
          <w:sz w:val="18"/>
          <w:szCs w:val="18"/>
        </w:rPr>
        <w:t xml:space="preserve"> dan LMK SELMI </w:t>
      </w:r>
      <w:proofErr w:type="spellStart"/>
      <w:r w:rsidRPr="00F926A9">
        <w:rPr>
          <w:rFonts w:ascii="Cambria" w:hAnsi="Cambria"/>
          <w:sz w:val="18"/>
          <w:szCs w:val="18"/>
        </w:rPr>
        <w:t>Sepakat</w:t>
      </w:r>
      <w:proofErr w:type="spellEnd"/>
      <w:r w:rsidRPr="00F926A9">
        <w:rPr>
          <w:rFonts w:ascii="Cambria" w:hAnsi="Cambria"/>
          <w:sz w:val="18"/>
          <w:szCs w:val="18"/>
        </w:rPr>
        <w:t xml:space="preserve"> Damai," nusabali.com, 8 August 2025, https://www.nusabali.com/berita/198799/royalti-rp-22-miliar-dibayarkan-mie-gacoan-dan-lmk-selmi-sepakat-damai.</w:t>
      </w:r>
    </w:p>
  </w:footnote>
  <w:footnote w:id="6">
    <w:p w14:paraId="13F60F07" w14:textId="77777777" w:rsidR="00F926A9" w:rsidRDefault="00F926A9" w:rsidP="00F926A9">
      <w:pPr>
        <w:spacing w:line="240" w:lineRule="auto"/>
        <w:jc w:val="both"/>
      </w:pPr>
      <w:r>
        <w:rPr>
          <w:rStyle w:val="FootnoteReference"/>
        </w:rPr>
        <w:footnoteRef/>
      </w:r>
      <w:r>
        <w:rPr>
          <w:sz w:val="18"/>
          <w:szCs w:val="18"/>
        </w:rPr>
        <w:t xml:space="preserve">Nurul </w:t>
      </w:r>
      <w:proofErr w:type="spellStart"/>
      <w:r>
        <w:rPr>
          <w:sz w:val="18"/>
          <w:szCs w:val="18"/>
        </w:rPr>
        <w:t>Indarsen</w:t>
      </w:r>
      <w:proofErr w:type="spellEnd"/>
      <w:r>
        <w:rPr>
          <w:sz w:val="18"/>
          <w:szCs w:val="18"/>
        </w:rPr>
        <w:t>, "</w:t>
      </w:r>
      <w:proofErr w:type="spellStart"/>
      <w:r>
        <w:rPr>
          <w:sz w:val="18"/>
          <w:szCs w:val="18"/>
        </w:rPr>
        <w:t>Konsekuensi</w:t>
      </w:r>
      <w:proofErr w:type="spellEnd"/>
      <w:r>
        <w:rPr>
          <w:sz w:val="18"/>
          <w:szCs w:val="18"/>
        </w:rPr>
        <w:t xml:space="preserve"> </w:t>
      </w:r>
      <w:proofErr w:type="spellStart"/>
      <w:r>
        <w:rPr>
          <w:sz w:val="18"/>
          <w:szCs w:val="18"/>
        </w:rPr>
        <w:t>Hadirnya</w:t>
      </w:r>
      <w:proofErr w:type="spellEnd"/>
      <w:r>
        <w:rPr>
          <w:sz w:val="18"/>
          <w:szCs w:val="18"/>
        </w:rPr>
        <w:t xml:space="preserve"> </w:t>
      </w:r>
      <w:proofErr w:type="spellStart"/>
      <w:r>
        <w:rPr>
          <w:sz w:val="18"/>
          <w:szCs w:val="18"/>
        </w:rPr>
        <w:t>Peraturan</w:t>
      </w:r>
      <w:proofErr w:type="spellEnd"/>
      <w:r>
        <w:rPr>
          <w:sz w:val="18"/>
          <w:szCs w:val="18"/>
        </w:rPr>
        <w:t xml:space="preserve"> </w:t>
      </w:r>
      <w:proofErr w:type="spellStart"/>
      <w:r>
        <w:rPr>
          <w:sz w:val="18"/>
          <w:szCs w:val="18"/>
        </w:rPr>
        <w:t>Pemerintah</w:t>
      </w:r>
      <w:proofErr w:type="spellEnd"/>
      <w:r>
        <w:rPr>
          <w:sz w:val="18"/>
          <w:szCs w:val="18"/>
        </w:rPr>
        <w:t xml:space="preserve"> </w:t>
      </w:r>
      <w:proofErr w:type="spellStart"/>
      <w:r>
        <w:rPr>
          <w:sz w:val="18"/>
          <w:szCs w:val="18"/>
        </w:rPr>
        <w:t>Nomor</w:t>
      </w:r>
      <w:proofErr w:type="spellEnd"/>
      <w:r>
        <w:rPr>
          <w:sz w:val="18"/>
          <w:szCs w:val="18"/>
        </w:rPr>
        <w:t xml:space="preserve"> 56 Tahun 2021 tentang </w:t>
      </w:r>
      <w:proofErr w:type="spellStart"/>
      <w:r>
        <w:rPr>
          <w:sz w:val="18"/>
          <w:szCs w:val="18"/>
        </w:rPr>
        <w:t>Pengelolaan</w:t>
      </w:r>
      <w:proofErr w:type="spellEnd"/>
      <w:r>
        <w:rPr>
          <w:sz w:val="18"/>
          <w:szCs w:val="18"/>
        </w:rPr>
        <w:t xml:space="preserve"> Royalti Hak Cipta Lagu dan/atau Musik </w:t>
      </w:r>
      <w:proofErr w:type="spellStart"/>
      <w:r>
        <w:rPr>
          <w:sz w:val="18"/>
          <w:szCs w:val="18"/>
        </w:rPr>
        <w:t>terhadap</w:t>
      </w:r>
      <w:proofErr w:type="spellEnd"/>
      <w:r>
        <w:rPr>
          <w:sz w:val="18"/>
          <w:szCs w:val="18"/>
        </w:rPr>
        <w:t xml:space="preserve"> </w:t>
      </w:r>
      <w:proofErr w:type="spellStart"/>
      <w:r>
        <w:rPr>
          <w:sz w:val="18"/>
          <w:szCs w:val="18"/>
        </w:rPr>
        <w:t>Pemungutan</w:t>
      </w:r>
      <w:proofErr w:type="spellEnd"/>
      <w:r>
        <w:rPr>
          <w:sz w:val="18"/>
          <w:szCs w:val="18"/>
        </w:rPr>
        <w:t xml:space="preserve"> Royalti Lagu dan/atau Musik," </w:t>
      </w:r>
      <w:r>
        <w:rPr>
          <w:i/>
          <w:iCs/>
          <w:sz w:val="18"/>
          <w:szCs w:val="18"/>
        </w:rPr>
        <w:t xml:space="preserve">Locus: Jurnal </w:t>
      </w:r>
      <w:proofErr w:type="spellStart"/>
      <w:r>
        <w:rPr>
          <w:i/>
          <w:iCs/>
          <w:sz w:val="18"/>
          <w:szCs w:val="18"/>
        </w:rPr>
        <w:t>Konsep</w:t>
      </w:r>
      <w:proofErr w:type="spellEnd"/>
      <w:r>
        <w:rPr>
          <w:i/>
          <w:iCs/>
          <w:sz w:val="18"/>
          <w:szCs w:val="18"/>
        </w:rPr>
        <w:t xml:space="preserve"> Ilmu Hukum</w:t>
      </w:r>
      <w:r>
        <w:rPr>
          <w:sz w:val="18"/>
          <w:szCs w:val="18"/>
        </w:rPr>
        <w:t xml:space="preserve"> 3, no. 2 (2023): 99–112.</w:t>
      </w:r>
    </w:p>
  </w:footnote>
  <w:footnote w:id="7">
    <w:p w14:paraId="61AB4380" w14:textId="77777777" w:rsidR="00F926A9" w:rsidRPr="00F926A9" w:rsidRDefault="00F926A9" w:rsidP="00F926A9">
      <w:pPr>
        <w:spacing w:after="0" w:line="240" w:lineRule="auto"/>
        <w:jc w:val="both"/>
        <w:rPr>
          <w:rFonts w:ascii="Cambria" w:hAnsi="Cambria"/>
          <w:sz w:val="18"/>
          <w:szCs w:val="18"/>
        </w:rPr>
      </w:pPr>
      <w:r w:rsidRPr="00F926A9">
        <w:rPr>
          <w:rStyle w:val="FootnoteReference"/>
          <w:rFonts w:ascii="Cambria" w:hAnsi="Cambria"/>
          <w:sz w:val="18"/>
          <w:szCs w:val="18"/>
        </w:rPr>
        <w:footnoteRef/>
      </w:r>
      <w:r w:rsidRPr="00F926A9">
        <w:rPr>
          <w:rFonts w:ascii="Cambria" w:hAnsi="Cambria"/>
          <w:sz w:val="18"/>
          <w:szCs w:val="18"/>
        </w:rPr>
        <w:t xml:space="preserve">Rico Frans Jhonatan Pinem and Eka Ratnawati, "Restorative Justice dalam </w:t>
      </w:r>
      <w:proofErr w:type="spellStart"/>
      <w:r w:rsidRPr="00F926A9">
        <w:rPr>
          <w:rFonts w:ascii="Cambria" w:hAnsi="Cambria"/>
          <w:sz w:val="18"/>
          <w:szCs w:val="18"/>
        </w:rPr>
        <w:t>Tindak</w:t>
      </w:r>
      <w:proofErr w:type="spellEnd"/>
      <w:r w:rsidRPr="00F926A9">
        <w:rPr>
          <w:rFonts w:ascii="Cambria" w:hAnsi="Cambria"/>
          <w:sz w:val="18"/>
          <w:szCs w:val="18"/>
        </w:rPr>
        <w:t xml:space="preserve"> </w:t>
      </w:r>
      <w:proofErr w:type="spellStart"/>
      <w:r w:rsidRPr="00F926A9">
        <w:rPr>
          <w:rFonts w:ascii="Cambria" w:hAnsi="Cambria"/>
          <w:sz w:val="18"/>
          <w:szCs w:val="18"/>
        </w:rPr>
        <w:t>Pidana</w:t>
      </w:r>
      <w:proofErr w:type="spellEnd"/>
      <w:r w:rsidRPr="00F926A9">
        <w:rPr>
          <w:rFonts w:ascii="Cambria" w:hAnsi="Cambria"/>
          <w:sz w:val="18"/>
          <w:szCs w:val="18"/>
        </w:rPr>
        <w:t xml:space="preserve"> Merek (</w:t>
      </w:r>
      <w:proofErr w:type="spellStart"/>
      <w:r w:rsidRPr="00F926A9">
        <w:rPr>
          <w:rFonts w:ascii="Cambria" w:hAnsi="Cambria"/>
          <w:sz w:val="18"/>
          <w:szCs w:val="18"/>
        </w:rPr>
        <w:t>Analisis</w:t>
      </w:r>
      <w:proofErr w:type="spellEnd"/>
      <w:r w:rsidRPr="00F926A9">
        <w:rPr>
          <w:rFonts w:ascii="Cambria" w:hAnsi="Cambria"/>
          <w:sz w:val="18"/>
          <w:szCs w:val="18"/>
        </w:rPr>
        <w:t xml:space="preserve"> Teori </w:t>
      </w:r>
      <w:proofErr w:type="spellStart"/>
      <w:r w:rsidRPr="00F926A9">
        <w:rPr>
          <w:rFonts w:ascii="Cambria" w:hAnsi="Cambria"/>
          <w:sz w:val="18"/>
          <w:szCs w:val="18"/>
        </w:rPr>
        <w:t>Penegakan</w:t>
      </w:r>
      <w:proofErr w:type="spellEnd"/>
      <w:r w:rsidRPr="00F926A9">
        <w:rPr>
          <w:rFonts w:ascii="Cambria" w:hAnsi="Cambria"/>
          <w:sz w:val="18"/>
          <w:szCs w:val="18"/>
        </w:rPr>
        <w:t xml:space="preserve"> Hukum)," </w:t>
      </w:r>
      <w:proofErr w:type="spellStart"/>
      <w:r w:rsidRPr="00F926A9">
        <w:rPr>
          <w:rFonts w:ascii="Cambria" w:hAnsi="Cambria"/>
          <w:i/>
          <w:iCs/>
          <w:sz w:val="18"/>
          <w:szCs w:val="18"/>
        </w:rPr>
        <w:t>Ensiklopedia</w:t>
      </w:r>
      <w:proofErr w:type="spellEnd"/>
      <w:r w:rsidRPr="00F926A9">
        <w:rPr>
          <w:rFonts w:ascii="Cambria" w:hAnsi="Cambria"/>
          <w:i/>
          <w:iCs/>
          <w:sz w:val="18"/>
          <w:szCs w:val="18"/>
        </w:rPr>
        <w:t xml:space="preserve"> of Journal</w:t>
      </w:r>
      <w:r w:rsidRPr="00F926A9">
        <w:rPr>
          <w:rFonts w:ascii="Cambria" w:hAnsi="Cambria"/>
          <w:sz w:val="18"/>
          <w:szCs w:val="18"/>
        </w:rPr>
        <w:t xml:space="preserve"> 6, no. 2 (2024).</w:t>
      </w:r>
    </w:p>
  </w:footnote>
  <w:footnote w:id="8">
    <w:p w14:paraId="02497C0A" w14:textId="77777777" w:rsidR="00F926A9" w:rsidRPr="00F926A9" w:rsidRDefault="00F926A9" w:rsidP="00F926A9">
      <w:pPr>
        <w:spacing w:after="0" w:line="240" w:lineRule="auto"/>
        <w:jc w:val="both"/>
        <w:rPr>
          <w:rFonts w:ascii="Cambria" w:hAnsi="Cambria"/>
          <w:sz w:val="18"/>
          <w:szCs w:val="18"/>
        </w:rPr>
      </w:pPr>
      <w:r w:rsidRPr="00F926A9">
        <w:rPr>
          <w:rStyle w:val="FootnoteReference"/>
          <w:rFonts w:ascii="Cambria" w:hAnsi="Cambria"/>
          <w:sz w:val="18"/>
          <w:szCs w:val="18"/>
        </w:rPr>
        <w:footnoteRef/>
      </w:r>
      <w:r w:rsidRPr="00F926A9">
        <w:rPr>
          <w:rFonts w:ascii="Cambria" w:hAnsi="Cambria"/>
          <w:sz w:val="18"/>
          <w:szCs w:val="18"/>
        </w:rPr>
        <w:t>Rika Ratna Permata, "</w:t>
      </w:r>
      <w:proofErr w:type="spellStart"/>
      <w:r w:rsidRPr="00F926A9">
        <w:rPr>
          <w:rFonts w:ascii="Cambria" w:hAnsi="Cambria"/>
          <w:sz w:val="18"/>
          <w:szCs w:val="18"/>
        </w:rPr>
        <w:t>Efektivitas</w:t>
      </w:r>
      <w:proofErr w:type="spellEnd"/>
      <w:r w:rsidRPr="00F926A9">
        <w:rPr>
          <w:rFonts w:ascii="Cambria" w:hAnsi="Cambria"/>
          <w:sz w:val="18"/>
          <w:szCs w:val="18"/>
        </w:rPr>
        <w:t xml:space="preserve"> Lembaga </w:t>
      </w:r>
      <w:proofErr w:type="spellStart"/>
      <w:r w:rsidRPr="00F926A9">
        <w:rPr>
          <w:rFonts w:ascii="Cambria" w:hAnsi="Cambria"/>
          <w:sz w:val="18"/>
          <w:szCs w:val="18"/>
        </w:rPr>
        <w:t>Manajemen</w:t>
      </w:r>
      <w:proofErr w:type="spellEnd"/>
      <w:r w:rsidRPr="00F926A9">
        <w:rPr>
          <w:rFonts w:ascii="Cambria" w:hAnsi="Cambria"/>
          <w:sz w:val="18"/>
          <w:szCs w:val="18"/>
        </w:rPr>
        <w:t xml:space="preserve"> </w:t>
      </w:r>
      <w:proofErr w:type="spellStart"/>
      <w:r w:rsidRPr="00F926A9">
        <w:rPr>
          <w:rFonts w:ascii="Cambria" w:hAnsi="Cambria"/>
          <w:sz w:val="18"/>
          <w:szCs w:val="18"/>
        </w:rPr>
        <w:t>Kolektif</w:t>
      </w:r>
      <w:proofErr w:type="spellEnd"/>
      <w:r w:rsidRPr="00F926A9">
        <w:rPr>
          <w:rFonts w:ascii="Cambria" w:hAnsi="Cambria"/>
          <w:sz w:val="18"/>
          <w:szCs w:val="18"/>
        </w:rPr>
        <w:t xml:space="preserve"> dalam </w:t>
      </w:r>
      <w:proofErr w:type="spellStart"/>
      <w:r w:rsidRPr="00F926A9">
        <w:rPr>
          <w:rFonts w:ascii="Cambria" w:hAnsi="Cambria"/>
          <w:sz w:val="18"/>
          <w:szCs w:val="18"/>
        </w:rPr>
        <w:t>Pengelolaan</w:t>
      </w:r>
      <w:proofErr w:type="spellEnd"/>
      <w:r w:rsidRPr="00F926A9">
        <w:rPr>
          <w:rFonts w:ascii="Cambria" w:hAnsi="Cambria"/>
          <w:sz w:val="18"/>
          <w:szCs w:val="18"/>
        </w:rPr>
        <w:t xml:space="preserve"> Royalti Musik di Indonesia," </w:t>
      </w:r>
      <w:r w:rsidRPr="00F926A9">
        <w:rPr>
          <w:rFonts w:ascii="Cambria" w:hAnsi="Cambria"/>
          <w:i/>
          <w:iCs/>
          <w:sz w:val="18"/>
          <w:szCs w:val="18"/>
        </w:rPr>
        <w:t xml:space="preserve">Jurnal </w:t>
      </w:r>
      <w:proofErr w:type="spellStart"/>
      <w:r w:rsidRPr="00F926A9">
        <w:rPr>
          <w:rFonts w:ascii="Cambria" w:hAnsi="Cambria"/>
          <w:i/>
          <w:iCs/>
          <w:sz w:val="18"/>
          <w:szCs w:val="18"/>
        </w:rPr>
        <w:t>RechtsVinding</w:t>
      </w:r>
      <w:proofErr w:type="spellEnd"/>
      <w:r w:rsidRPr="00F926A9">
        <w:rPr>
          <w:rFonts w:ascii="Cambria" w:hAnsi="Cambria"/>
          <w:sz w:val="18"/>
          <w:szCs w:val="18"/>
        </w:rPr>
        <w:t xml:space="preserve"> (2021).</w:t>
      </w:r>
    </w:p>
  </w:footnote>
  <w:footnote w:id="9">
    <w:p w14:paraId="58284CBF" w14:textId="77777777" w:rsidR="00F926A9" w:rsidRPr="00F926A9" w:rsidRDefault="00F926A9" w:rsidP="00F926A9">
      <w:pPr>
        <w:spacing w:after="0" w:line="240" w:lineRule="auto"/>
        <w:jc w:val="both"/>
        <w:rPr>
          <w:rFonts w:ascii="Cambria" w:hAnsi="Cambria"/>
          <w:sz w:val="18"/>
          <w:szCs w:val="18"/>
        </w:rPr>
      </w:pPr>
      <w:r w:rsidRPr="00F926A9">
        <w:rPr>
          <w:rStyle w:val="FootnoteReference"/>
          <w:rFonts w:ascii="Cambria" w:hAnsi="Cambria"/>
          <w:sz w:val="18"/>
          <w:szCs w:val="18"/>
        </w:rPr>
        <w:footnoteRef/>
      </w:r>
      <w:proofErr w:type="spellStart"/>
      <w:r w:rsidRPr="00F926A9">
        <w:rPr>
          <w:rFonts w:ascii="Cambria" w:hAnsi="Cambria"/>
          <w:sz w:val="18"/>
          <w:szCs w:val="18"/>
        </w:rPr>
        <w:t>Miftahur</w:t>
      </w:r>
      <w:proofErr w:type="spellEnd"/>
      <w:r w:rsidRPr="00F926A9">
        <w:rPr>
          <w:rFonts w:ascii="Cambria" w:hAnsi="Cambria"/>
          <w:sz w:val="18"/>
          <w:szCs w:val="18"/>
        </w:rPr>
        <w:t xml:space="preserve"> Rizki, "</w:t>
      </w:r>
      <w:proofErr w:type="spellStart"/>
      <w:r w:rsidRPr="00F926A9">
        <w:rPr>
          <w:rFonts w:ascii="Cambria" w:hAnsi="Cambria"/>
          <w:sz w:val="18"/>
          <w:szCs w:val="18"/>
        </w:rPr>
        <w:t>Konsekuensi</w:t>
      </w:r>
      <w:proofErr w:type="spellEnd"/>
      <w:r w:rsidRPr="00F926A9">
        <w:rPr>
          <w:rFonts w:ascii="Cambria" w:hAnsi="Cambria"/>
          <w:sz w:val="18"/>
          <w:szCs w:val="18"/>
        </w:rPr>
        <w:t xml:space="preserve"> </w:t>
      </w:r>
      <w:proofErr w:type="spellStart"/>
      <w:r w:rsidRPr="00F926A9">
        <w:rPr>
          <w:rFonts w:ascii="Cambria" w:hAnsi="Cambria"/>
          <w:sz w:val="18"/>
          <w:szCs w:val="18"/>
        </w:rPr>
        <w:t>Keuangan</w:t>
      </w:r>
      <w:proofErr w:type="spellEnd"/>
      <w:r w:rsidRPr="00F926A9">
        <w:rPr>
          <w:rFonts w:ascii="Cambria" w:hAnsi="Cambria"/>
          <w:sz w:val="18"/>
          <w:szCs w:val="18"/>
        </w:rPr>
        <w:t xml:space="preserve"> dan Hukum </w:t>
      </w:r>
      <w:proofErr w:type="spellStart"/>
      <w:r w:rsidRPr="00F926A9">
        <w:rPr>
          <w:rFonts w:ascii="Cambria" w:hAnsi="Cambria"/>
          <w:sz w:val="18"/>
          <w:szCs w:val="18"/>
        </w:rPr>
        <w:t>atas</w:t>
      </w:r>
      <w:proofErr w:type="spellEnd"/>
      <w:r w:rsidRPr="00F926A9">
        <w:rPr>
          <w:rFonts w:ascii="Cambria" w:hAnsi="Cambria"/>
          <w:sz w:val="18"/>
          <w:szCs w:val="18"/>
        </w:rPr>
        <w:t xml:space="preserve"> </w:t>
      </w:r>
      <w:proofErr w:type="spellStart"/>
      <w:r w:rsidRPr="00F926A9">
        <w:rPr>
          <w:rFonts w:ascii="Cambria" w:hAnsi="Cambria"/>
          <w:sz w:val="18"/>
          <w:szCs w:val="18"/>
        </w:rPr>
        <w:t>Pelanggaran</w:t>
      </w:r>
      <w:proofErr w:type="spellEnd"/>
      <w:r w:rsidRPr="00F926A9">
        <w:rPr>
          <w:rFonts w:ascii="Cambria" w:hAnsi="Cambria"/>
          <w:sz w:val="18"/>
          <w:szCs w:val="18"/>
        </w:rPr>
        <w:t xml:space="preserve"> Hak Cipta dalam </w:t>
      </w:r>
      <w:proofErr w:type="spellStart"/>
      <w:r w:rsidRPr="00F926A9">
        <w:rPr>
          <w:rFonts w:ascii="Cambria" w:hAnsi="Cambria"/>
          <w:sz w:val="18"/>
          <w:szCs w:val="18"/>
        </w:rPr>
        <w:t>Penampilan</w:t>
      </w:r>
      <w:proofErr w:type="spellEnd"/>
      <w:r w:rsidRPr="00F926A9">
        <w:rPr>
          <w:rFonts w:ascii="Cambria" w:hAnsi="Cambria"/>
          <w:sz w:val="18"/>
          <w:szCs w:val="18"/>
        </w:rPr>
        <w:t xml:space="preserve"> Publik: Studi </w:t>
      </w:r>
      <w:proofErr w:type="spellStart"/>
      <w:r w:rsidRPr="00F926A9">
        <w:rPr>
          <w:rFonts w:ascii="Cambria" w:hAnsi="Cambria"/>
          <w:sz w:val="18"/>
          <w:szCs w:val="18"/>
        </w:rPr>
        <w:t>Kasus</w:t>
      </w:r>
      <w:proofErr w:type="spellEnd"/>
      <w:r w:rsidRPr="00F926A9">
        <w:rPr>
          <w:rFonts w:ascii="Cambria" w:hAnsi="Cambria"/>
          <w:sz w:val="18"/>
          <w:szCs w:val="18"/>
        </w:rPr>
        <w:t xml:space="preserve"> </w:t>
      </w:r>
      <w:proofErr w:type="spellStart"/>
      <w:r w:rsidRPr="00F926A9">
        <w:rPr>
          <w:rFonts w:ascii="Cambria" w:hAnsi="Cambria"/>
          <w:sz w:val="18"/>
          <w:szCs w:val="18"/>
        </w:rPr>
        <w:t>Penyelesaian</w:t>
      </w:r>
      <w:proofErr w:type="spellEnd"/>
      <w:r w:rsidRPr="00F926A9">
        <w:rPr>
          <w:rFonts w:ascii="Cambria" w:hAnsi="Cambria"/>
          <w:sz w:val="18"/>
          <w:szCs w:val="18"/>
        </w:rPr>
        <w:t xml:space="preserve"> </w:t>
      </w:r>
      <w:proofErr w:type="spellStart"/>
      <w:r w:rsidRPr="00F926A9">
        <w:rPr>
          <w:rFonts w:ascii="Cambria" w:hAnsi="Cambria"/>
          <w:sz w:val="18"/>
          <w:szCs w:val="18"/>
        </w:rPr>
        <w:t>Sengketa</w:t>
      </w:r>
      <w:proofErr w:type="spellEnd"/>
      <w:r w:rsidRPr="00F926A9">
        <w:rPr>
          <w:rFonts w:ascii="Cambria" w:hAnsi="Cambria"/>
          <w:sz w:val="18"/>
          <w:szCs w:val="18"/>
        </w:rPr>
        <w:t xml:space="preserve"> Royalti Musik pada Mie </w:t>
      </w:r>
      <w:proofErr w:type="spellStart"/>
      <w:r w:rsidRPr="00F926A9">
        <w:rPr>
          <w:rFonts w:ascii="Cambria" w:hAnsi="Cambria"/>
          <w:sz w:val="18"/>
          <w:szCs w:val="18"/>
        </w:rPr>
        <w:t>Gacoan</w:t>
      </w:r>
      <w:proofErr w:type="spellEnd"/>
      <w:r w:rsidRPr="00F926A9">
        <w:rPr>
          <w:rFonts w:ascii="Cambria" w:hAnsi="Cambria"/>
          <w:sz w:val="18"/>
          <w:szCs w:val="18"/>
        </w:rPr>
        <w:t xml:space="preserve"> Bali," </w:t>
      </w:r>
      <w:proofErr w:type="spellStart"/>
      <w:r w:rsidRPr="00F926A9">
        <w:rPr>
          <w:rFonts w:ascii="Cambria" w:hAnsi="Cambria"/>
          <w:i/>
          <w:iCs/>
          <w:sz w:val="18"/>
          <w:szCs w:val="18"/>
        </w:rPr>
        <w:t>Aliansi</w:t>
      </w:r>
      <w:proofErr w:type="spellEnd"/>
      <w:r w:rsidRPr="00F926A9">
        <w:rPr>
          <w:rFonts w:ascii="Cambria" w:hAnsi="Cambria"/>
          <w:i/>
          <w:iCs/>
          <w:sz w:val="18"/>
          <w:szCs w:val="18"/>
        </w:rPr>
        <w:t xml:space="preserve">: Jurnal Hukum, Pendidikan dan </w:t>
      </w:r>
      <w:proofErr w:type="spellStart"/>
      <w:r w:rsidRPr="00F926A9">
        <w:rPr>
          <w:rFonts w:ascii="Cambria" w:hAnsi="Cambria"/>
          <w:i/>
          <w:iCs/>
          <w:sz w:val="18"/>
          <w:szCs w:val="18"/>
        </w:rPr>
        <w:t>Sosial</w:t>
      </w:r>
      <w:proofErr w:type="spellEnd"/>
      <w:r w:rsidRPr="00F926A9">
        <w:rPr>
          <w:rFonts w:ascii="Cambria" w:hAnsi="Cambria"/>
          <w:i/>
          <w:iCs/>
          <w:sz w:val="18"/>
          <w:szCs w:val="18"/>
        </w:rPr>
        <w:t xml:space="preserve"> </w:t>
      </w:r>
      <w:proofErr w:type="spellStart"/>
      <w:r w:rsidRPr="00F926A9">
        <w:rPr>
          <w:rFonts w:ascii="Cambria" w:hAnsi="Cambria"/>
          <w:i/>
          <w:iCs/>
          <w:sz w:val="18"/>
          <w:szCs w:val="18"/>
        </w:rPr>
        <w:t>Humaniora</w:t>
      </w:r>
      <w:proofErr w:type="spellEnd"/>
      <w:r w:rsidRPr="00F926A9">
        <w:rPr>
          <w:rFonts w:ascii="Cambria" w:hAnsi="Cambria"/>
          <w:sz w:val="18"/>
          <w:szCs w:val="18"/>
        </w:rPr>
        <w:t xml:space="preserve"> 2, no. 6 (2025): 256–66.</w:t>
      </w:r>
    </w:p>
  </w:footnote>
  <w:footnote w:id="10">
    <w:p w14:paraId="1D150F50" w14:textId="77777777" w:rsidR="00F926A9" w:rsidRDefault="00F926A9" w:rsidP="00F926A9">
      <w:pPr>
        <w:spacing w:after="0" w:line="240" w:lineRule="auto"/>
        <w:jc w:val="both"/>
      </w:pPr>
      <w:r w:rsidRPr="00F926A9">
        <w:rPr>
          <w:rStyle w:val="FootnoteReference"/>
          <w:rFonts w:ascii="Cambria" w:hAnsi="Cambria"/>
          <w:sz w:val="18"/>
          <w:szCs w:val="18"/>
        </w:rPr>
        <w:footnoteRef/>
      </w:r>
      <w:r w:rsidRPr="00F926A9">
        <w:rPr>
          <w:rFonts w:ascii="Cambria" w:hAnsi="Cambria"/>
          <w:sz w:val="18"/>
          <w:szCs w:val="18"/>
        </w:rPr>
        <w:t xml:space="preserve">Constitutional Court of the Republic of Indonesia, </w:t>
      </w:r>
      <w:r w:rsidRPr="00F926A9">
        <w:rPr>
          <w:rFonts w:ascii="Cambria" w:hAnsi="Cambria"/>
          <w:i/>
          <w:iCs/>
          <w:sz w:val="18"/>
          <w:szCs w:val="18"/>
        </w:rPr>
        <w:t>Decision Number 28/PUU-XXIII/2025</w:t>
      </w:r>
      <w:r w:rsidRPr="00F926A9">
        <w:rPr>
          <w:rFonts w:ascii="Cambria" w:hAnsi="Cambria"/>
          <w:sz w:val="18"/>
          <w:szCs w:val="18"/>
        </w:rPr>
        <w:t>, pronounced 17 December 2025.</w:t>
      </w:r>
    </w:p>
  </w:footnote>
  <w:footnote w:id="11">
    <w:p w14:paraId="50071968" w14:textId="77777777" w:rsidR="00F926A9" w:rsidRPr="00F926A9" w:rsidRDefault="00F926A9" w:rsidP="00F926A9">
      <w:pPr>
        <w:spacing w:after="0" w:line="240" w:lineRule="auto"/>
        <w:jc w:val="both"/>
        <w:rPr>
          <w:rFonts w:ascii="Cambria" w:hAnsi="Cambria" w:cs="Cambria"/>
          <w:sz w:val="18"/>
          <w:szCs w:val="18"/>
          <w:lang w:val="fi-FI" w:eastAsia="en-AU"/>
        </w:rPr>
      </w:pPr>
      <w:r w:rsidRPr="00F926A9">
        <w:rPr>
          <w:rStyle w:val="FootnoteReference"/>
          <w:rFonts w:ascii="Cambria" w:hAnsi="Cambria"/>
          <w:sz w:val="18"/>
          <w:szCs w:val="18"/>
        </w:rPr>
        <w:footnoteRef/>
      </w:r>
      <w:proofErr w:type="spellStart"/>
      <w:r w:rsidRPr="00F926A9">
        <w:rPr>
          <w:rFonts w:ascii="Cambria" w:hAnsi="Cambria"/>
          <w:sz w:val="18"/>
          <w:szCs w:val="18"/>
          <w:lang w:val="fi-FI"/>
        </w:rPr>
        <w:t>Soerjono</w:t>
      </w:r>
      <w:proofErr w:type="spellEnd"/>
      <w:r w:rsidRPr="00F926A9">
        <w:rPr>
          <w:rFonts w:ascii="Cambria" w:hAnsi="Cambria"/>
          <w:sz w:val="18"/>
          <w:szCs w:val="18"/>
          <w:lang w:val="fi-FI"/>
        </w:rPr>
        <w:t xml:space="preserve"> </w:t>
      </w:r>
      <w:proofErr w:type="spellStart"/>
      <w:r w:rsidRPr="00F926A9">
        <w:rPr>
          <w:rFonts w:ascii="Cambria" w:hAnsi="Cambria"/>
          <w:sz w:val="18"/>
          <w:szCs w:val="18"/>
          <w:lang w:val="fi-FI"/>
        </w:rPr>
        <w:t>Soekanto</w:t>
      </w:r>
      <w:proofErr w:type="spellEnd"/>
      <w:r w:rsidRPr="00F926A9">
        <w:rPr>
          <w:rFonts w:ascii="Cambria" w:hAnsi="Cambria"/>
          <w:sz w:val="18"/>
          <w:szCs w:val="18"/>
          <w:lang w:val="fi-FI"/>
        </w:rPr>
        <w:t xml:space="preserve"> and Sri </w:t>
      </w:r>
      <w:proofErr w:type="spellStart"/>
      <w:r w:rsidRPr="00F926A9">
        <w:rPr>
          <w:rFonts w:ascii="Cambria" w:hAnsi="Cambria"/>
          <w:sz w:val="18"/>
          <w:szCs w:val="18"/>
          <w:lang w:val="fi-FI"/>
        </w:rPr>
        <w:t>Mamudji</w:t>
      </w:r>
      <w:proofErr w:type="spellEnd"/>
      <w:r w:rsidRPr="00F926A9">
        <w:rPr>
          <w:rFonts w:ascii="Cambria" w:hAnsi="Cambria"/>
          <w:sz w:val="18"/>
          <w:szCs w:val="18"/>
          <w:lang w:val="fi-FI"/>
        </w:rPr>
        <w:t xml:space="preserve">, </w:t>
      </w:r>
      <w:proofErr w:type="spellStart"/>
      <w:r w:rsidRPr="00F926A9">
        <w:rPr>
          <w:rFonts w:ascii="Cambria" w:hAnsi="Cambria"/>
          <w:i/>
          <w:iCs/>
          <w:sz w:val="18"/>
          <w:szCs w:val="18"/>
          <w:lang w:val="fi-FI"/>
        </w:rPr>
        <w:t>Penelitian</w:t>
      </w:r>
      <w:proofErr w:type="spellEnd"/>
      <w:r w:rsidRPr="00F926A9">
        <w:rPr>
          <w:rFonts w:ascii="Cambria" w:hAnsi="Cambria"/>
          <w:i/>
          <w:iCs/>
          <w:sz w:val="18"/>
          <w:szCs w:val="18"/>
          <w:lang w:val="fi-FI"/>
        </w:rPr>
        <w:t xml:space="preserve"> </w:t>
      </w:r>
      <w:proofErr w:type="spellStart"/>
      <w:r w:rsidRPr="00F926A9">
        <w:rPr>
          <w:rFonts w:ascii="Cambria" w:hAnsi="Cambria"/>
          <w:i/>
          <w:iCs/>
          <w:sz w:val="18"/>
          <w:szCs w:val="18"/>
          <w:lang w:val="fi-FI"/>
        </w:rPr>
        <w:t>Hukum</w:t>
      </w:r>
      <w:proofErr w:type="spellEnd"/>
      <w:r w:rsidRPr="00F926A9">
        <w:rPr>
          <w:rFonts w:ascii="Cambria" w:hAnsi="Cambria"/>
          <w:i/>
          <w:iCs/>
          <w:sz w:val="18"/>
          <w:szCs w:val="18"/>
          <w:lang w:val="fi-FI"/>
        </w:rPr>
        <w:t xml:space="preserve"> </w:t>
      </w:r>
      <w:proofErr w:type="spellStart"/>
      <w:r w:rsidRPr="00F926A9">
        <w:rPr>
          <w:rFonts w:ascii="Cambria" w:hAnsi="Cambria"/>
          <w:i/>
          <w:iCs/>
          <w:sz w:val="18"/>
          <w:szCs w:val="18"/>
          <w:lang w:val="fi-FI"/>
        </w:rPr>
        <w:t>Normatif</w:t>
      </w:r>
      <w:proofErr w:type="spellEnd"/>
      <w:r w:rsidRPr="00F926A9">
        <w:rPr>
          <w:rFonts w:ascii="Cambria" w:hAnsi="Cambria"/>
          <w:i/>
          <w:iCs/>
          <w:sz w:val="18"/>
          <w:szCs w:val="18"/>
          <w:lang w:val="fi-FI"/>
        </w:rPr>
        <w:t xml:space="preserve">: </w:t>
      </w:r>
      <w:proofErr w:type="spellStart"/>
      <w:r w:rsidRPr="00F926A9">
        <w:rPr>
          <w:rFonts w:ascii="Cambria" w:hAnsi="Cambria"/>
          <w:i/>
          <w:iCs/>
          <w:sz w:val="18"/>
          <w:szCs w:val="18"/>
          <w:lang w:val="fi-FI"/>
        </w:rPr>
        <w:t>Suatu</w:t>
      </w:r>
      <w:proofErr w:type="spellEnd"/>
      <w:r w:rsidRPr="00F926A9">
        <w:rPr>
          <w:rFonts w:ascii="Cambria" w:hAnsi="Cambria"/>
          <w:i/>
          <w:iCs/>
          <w:sz w:val="18"/>
          <w:szCs w:val="18"/>
          <w:lang w:val="fi-FI"/>
        </w:rPr>
        <w:t xml:space="preserve"> </w:t>
      </w:r>
      <w:proofErr w:type="spellStart"/>
      <w:r w:rsidRPr="00F926A9">
        <w:rPr>
          <w:rFonts w:ascii="Cambria" w:hAnsi="Cambria"/>
          <w:i/>
          <w:iCs/>
          <w:sz w:val="18"/>
          <w:szCs w:val="18"/>
          <w:lang w:val="fi-FI"/>
        </w:rPr>
        <w:t>Tinjauan</w:t>
      </w:r>
      <w:proofErr w:type="spellEnd"/>
      <w:r w:rsidRPr="00F926A9">
        <w:rPr>
          <w:rFonts w:ascii="Cambria" w:hAnsi="Cambria"/>
          <w:i/>
          <w:iCs/>
          <w:sz w:val="18"/>
          <w:szCs w:val="18"/>
          <w:lang w:val="fi-FI"/>
        </w:rPr>
        <w:t xml:space="preserve"> </w:t>
      </w:r>
      <w:proofErr w:type="spellStart"/>
      <w:r w:rsidRPr="00F926A9">
        <w:rPr>
          <w:rFonts w:ascii="Cambria" w:hAnsi="Cambria"/>
          <w:i/>
          <w:iCs/>
          <w:sz w:val="18"/>
          <w:szCs w:val="18"/>
          <w:lang w:val="fi-FI"/>
        </w:rPr>
        <w:t>Singkat</w:t>
      </w:r>
      <w:proofErr w:type="spellEnd"/>
      <w:r w:rsidRPr="00F926A9">
        <w:rPr>
          <w:rFonts w:ascii="Cambria" w:hAnsi="Cambria"/>
          <w:sz w:val="18"/>
          <w:szCs w:val="18"/>
          <w:lang w:val="fi-FI"/>
        </w:rPr>
        <w:t xml:space="preserve"> (Jakarta: </w:t>
      </w:r>
      <w:proofErr w:type="spellStart"/>
      <w:r w:rsidRPr="00F926A9">
        <w:rPr>
          <w:rFonts w:ascii="Cambria" w:hAnsi="Cambria"/>
          <w:sz w:val="18"/>
          <w:szCs w:val="18"/>
          <w:lang w:val="fi-FI"/>
        </w:rPr>
        <w:t>Rajawali</w:t>
      </w:r>
      <w:proofErr w:type="spellEnd"/>
      <w:r w:rsidRPr="00F926A9">
        <w:rPr>
          <w:rFonts w:ascii="Cambria" w:hAnsi="Cambria"/>
          <w:sz w:val="18"/>
          <w:szCs w:val="18"/>
          <w:lang w:val="fi-FI"/>
        </w:rPr>
        <w:t xml:space="preserve"> </w:t>
      </w:r>
      <w:proofErr w:type="spellStart"/>
      <w:r w:rsidRPr="00F926A9">
        <w:rPr>
          <w:rFonts w:ascii="Cambria" w:hAnsi="Cambria"/>
          <w:sz w:val="18"/>
          <w:szCs w:val="18"/>
          <w:lang w:val="fi-FI"/>
        </w:rPr>
        <w:t>Pers</w:t>
      </w:r>
      <w:proofErr w:type="spellEnd"/>
      <w:r w:rsidRPr="00F926A9">
        <w:rPr>
          <w:rFonts w:ascii="Cambria" w:hAnsi="Cambria"/>
          <w:sz w:val="18"/>
          <w:szCs w:val="18"/>
          <w:lang w:val="fi-FI"/>
        </w:rPr>
        <w:t>, 2015), 13–14.</w:t>
      </w:r>
    </w:p>
  </w:footnote>
  <w:footnote w:id="12">
    <w:p w14:paraId="3B669D0C" w14:textId="77777777" w:rsidR="00F926A9" w:rsidRPr="00F926A9" w:rsidRDefault="00F926A9" w:rsidP="00F926A9">
      <w:pPr>
        <w:spacing w:after="0" w:line="240" w:lineRule="auto"/>
        <w:jc w:val="both"/>
        <w:rPr>
          <w:rFonts w:ascii="Cambria" w:hAnsi="Cambria"/>
          <w:sz w:val="18"/>
          <w:szCs w:val="18"/>
          <w:lang w:val="fi-FI"/>
        </w:rPr>
      </w:pPr>
      <w:r w:rsidRPr="00F926A9">
        <w:rPr>
          <w:rStyle w:val="FootnoteReference"/>
          <w:rFonts w:ascii="Cambria" w:hAnsi="Cambria"/>
          <w:sz w:val="18"/>
          <w:szCs w:val="18"/>
        </w:rPr>
        <w:footnoteRef/>
      </w:r>
      <w:r w:rsidRPr="00F926A9">
        <w:rPr>
          <w:rFonts w:ascii="Cambria" w:hAnsi="Cambria"/>
          <w:sz w:val="18"/>
          <w:szCs w:val="18"/>
        </w:rPr>
        <w:t xml:space="preserve">Peter Mahmud Marzuki, </w:t>
      </w:r>
      <w:proofErr w:type="spellStart"/>
      <w:r w:rsidRPr="00F926A9">
        <w:rPr>
          <w:rFonts w:ascii="Cambria" w:hAnsi="Cambria"/>
          <w:i/>
          <w:iCs/>
          <w:sz w:val="18"/>
          <w:szCs w:val="18"/>
        </w:rPr>
        <w:t>Penelitian</w:t>
      </w:r>
      <w:proofErr w:type="spellEnd"/>
      <w:r w:rsidRPr="00F926A9">
        <w:rPr>
          <w:rFonts w:ascii="Cambria" w:hAnsi="Cambria"/>
          <w:i/>
          <w:iCs/>
          <w:sz w:val="18"/>
          <w:szCs w:val="18"/>
        </w:rPr>
        <w:t xml:space="preserve"> Hukum</w:t>
      </w:r>
      <w:r w:rsidRPr="00F926A9">
        <w:rPr>
          <w:rFonts w:ascii="Cambria" w:hAnsi="Cambria"/>
          <w:sz w:val="18"/>
          <w:szCs w:val="18"/>
        </w:rPr>
        <w:t xml:space="preserve">, rev. ed. </w:t>
      </w:r>
      <w:r w:rsidRPr="00F926A9">
        <w:rPr>
          <w:rFonts w:ascii="Cambria" w:hAnsi="Cambria"/>
          <w:sz w:val="18"/>
          <w:szCs w:val="18"/>
          <w:lang w:val="fi-FI"/>
        </w:rPr>
        <w:t xml:space="preserve">(Jakarta: </w:t>
      </w:r>
      <w:proofErr w:type="spellStart"/>
      <w:r w:rsidRPr="00F926A9">
        <w:rPr>
          <w:rFonts w:ascii="Cambria" w:hAnsi="Cambria"/>
          <w:sz w:val="18"/>
          <w:szCs w:val="18"/>
          <w:lang w:val="fi-FI"/>
        </w:rPr>
        <w:t>Kencana</w:t>
      </w:r>
      <w:proofErr w:type="spellEnd"/>
      <w:r w:rsidRPr="00F926A9">
        <w:rPr>
          <w:rFonts w:ascii="Cambria" w:hAnsi="Cambria"/>
          <w:sz w:val="18"/>
          <w:szCs w:val="18"/>
          <w:lang w:val="fi-FI"/>
        </w:rPr>
        <w:t>, 2021), 133–37.</w:t>
      </w:r>
    </w:p>
  </w:footnote>
  <w:footnote w:id="13">
    <w:p w14:paraId="6AA3AF45" w14:textId="77777777" w:rsidR="00F926A9" w:rsidRPr="00F926A9" w:rsidRDefault="00F926A9" w:rsidP="00F926A9">
      <w:pPr>
        <w:spacing w:after="0" w:line="240" w:lineRule="auto"/>
        <w:jc w:val="both"/>
        <w:rPr>
          <w:rFonts w:ascii="Cambria" w:hAnsi="Cambria"/>
          <w:sz w:val="18"/>
          <w:szCs w:val="18"/>
          <w:lang w:val="fi-FI"/>
        </w:rPr>
      </w:pPr>
      <w:r w:rsidRPr="00F926A9">
        <w:rPr>
          <w:rStyle w:val="FootnoteReference"/>
          <w:rFonts w:ascii="Cambria" w:hAnsi="Cambria"/>
          <w:sz w:val="18"/>
          <w:szCs w:val="18"/>
        </w:rPr>
        <w:footnoteRef/>
      </w:r>
      <w:proofErr w:type="spellStart"/>
      <w:r w:rsidRPr="00F926A9">
        <w:rPr>
          <w:rFonts w:ascii="Cambria" w:hAnsi="Cambria"/>
          <w:sz w:val="18"/>
          <w:szCs w:val="18"/>
          <w:lang w:val="fi-FI"/>
        </w:rPr>
        <w:t>Zainuddin</w:t>
      </w:r>
      <w:proofErr w:type="spellEnd"/>
      <w:r w:rsidRPr="00F926A9">
        <w:rPr>
          <w:rFonts w:ascii="Cambria" w:hAnsi="Cambria"/>
          <w:sz w:val="18"/>
          <w:szCs w:val="18"/>
          <w:lang w:val="fi-FI"/>
        </w:rPr>
        <w:t xml:space="preserve"> Ali, </w:t>
      </w:r>
      <w:proofErr w:type="spellStart"/>
      <w:r w:rsidRPr="00F926A9">
        <w:rPr>
          <w:rFonts w:ascii="Cambria" w:hAnsi="Cambria"/>
          <w:i/>
          <w:iCs/>
          <w:sz w:val="18"/>
          <w:szCs w:val="18"/>
          <w:lang w:val="fi-FI"/>
        </w:rPr>
        <w:t>Metode</w:t>
      </w:r>
      <w:proofErr w:type="spellEnd"/>
      <w:r w:rsidRPr="00F926A9">
        <w:rPr>
          <w:rFonts w:ascii="Cambria" w:hAnsi="Cambria"/>
          <w:i/>
          <w:iCs/>
          <w:sz w:val="18"/>
          <w:szCs w:val="18"/>
          <w:lang w:val="fi-FI"/>
        </w:rPr>
        <w:t xml:space="preserve"> </w:t>
      </w:r>
      <w:proofErr w:type="spellStart"/>
      <w:r w:rsidRPr="00F926A9">
        <w:rPr>
          <w:rFonts w:ascii="Cambria" w:hAnsi="Cambria"/>
          <w:i/>
          <w:iCs/>
          <w:sz w:val="18"/>
          <w:szCs w:val="18"/>
          <w:lang w:val="fi-FI"/>
        </w:rPr>
        <w:t>Penelitian</w:t>
      </w:r>
      <w:proofErr w:type="spellEnd"/>
      <w:r w:rsidRPr="00F926A9">
        <w:rPr>
          <w:rFonts w:ascii="Cambria" w:hAnsi="Cambria"/>
          <w:i/>
          <w:iCs/>
          <w:sz w:val="18"/>
          <w:szCs w:val="18"/>
          <w:lang w:val="fi-FI"/>
        </w:rPr>
        <w:t xml:space="preserve"> </w:t>
      </w:r>
      <w:proofErr w:type="spellStart"/>
      <w:r w:rsidRPr="00F926A9">
        <w:rPr>
          <w:rFonts w:ascii="Cambria" w:hAnsi="Cambria"/>
          <w:i/>
          <w:iCs/>
          <w:sz w:val="18"/>
          <w:szCs w:val="18"/>
          <w:lang w:val="fi-FI"/>
        </w:rPr>
        <w:t>Hukum</w:t>
      </w:r>
      <w:proofErr w:type="spellEnd"/>
      <w:r w:rsidRPr="00F926A9">
        <w:rPr>
          <w:rFonts w:ascii="Cambria" w:hAnsi="Cambria"/>
          <w:sz w:val="18"/>
          <w:szCs w:val="18"/>
          <w:lang w:val="fi-FI"/>
        </w:rPr>
        <w:t xml:space="preserve"> (Jakarta: </w:t>
      </w:r>
      <w:proofErr w:type="spellStart"/>
      <w:r w:rsidRPr="00F926A9">
        <w:rPr>
          <w:rFonts w:ascii="Cambria" w:hAnsi="Cambria"/>
          <w:sz w:val="18"/>
          <w:szCs w:val="18"/>
          <w:lang w:val="fi-FI"/>
        </w:rPr>
        <w:t>Sinar</w:t>
      </w:r>
      <w:proofErr w:type="spellEnd"/>
      <w:r w:rsidRPr="00F926A9">
        <w:rPr>
          <w:rFonts w:ascii="Cambria" w:hAnsi="Cambria"/>
          <w:sz w:val="18"/>
          <w:szCs w:val="18"/>
          <w:lang w:val="fi-FI"/>
        </w:rPr>
        <w:t xml:space="preserve"> </w:t>
      </w:r>
      <w:proofErr w:type="spellStart"/>
      <w:r w:rsidRPr="00F926A9">
        <w:rPr>
          <w:rFonts w:ascii="Cambria" w:hAnsi="Cambria"/>
          <w:sz w:val="18"/>
          <w:szCs w:val="18"/>
          <w:lang w:val="fi-FI"/>
        </w:rPr>
        <w:t>Grafika</w:t>
      </w:r>
      <w:proofErr w:type="spellEnd"/>
      <w:r w:rsidRPr="00F926A9">
        <w:rPr>
          <w:rFonts w:ascii="Cambria" w:hAnsi="Cambria"/>
          <w:sz w:val="18"/>
          <w:szCs w:val="18"/>
          <w:lang w:val="fi-FI"/>
        </w:rPr>
        <w:t>, 2021), 105–7.</w:t>
      </w:r>
    </w:p>
  </w:footnote>
  <w:footnote w:id="14">
    <w:p w14:paraId="2487E912" w14:textId="77777777" w:rsidR="00F926A9" w:rsidRPr="00F926A9" w:rsidRDefault="00F926A9" w:rsidP="00F926A9">
      <w:pPr>
        <w:spacing w:line="240" w:lineRule="auto"/>
        <w:jc w:val="both"/>
        <w:rPr>
          <w:rFonts w:ascii="Cambria" w:hAnsi="Cambria"/>
          <w:sz w:val="18"/>
          <w:szCs w:val="18"/>
          <w:lang w:val="fi-FI"/>
        </w:rPr>
      </w:pPr>
      <w:r w:rsidRPr="00F926A9">
        <w:rPr>
          <w:rStyle w:val="FootnoteReference"/>
          <w:rFonts w:ascii="Cambria" w:hAnsi="Cambria"/>
          <w:sz w:val="18"/>
          <w:szCs w:val="18"/>
        </w:rPr>
        <w:footnoteRef/>
      </w:r>
      <w:proofErr w:type="spellStart"/>
      <w:r w:rsidRPr="00F926A9">
        <w:rPr>
          <w:rFonts w:ascii="Cambria" w:hAnsi="Cambria"/>
          <w:sz w:val="18"/>
          <w:szCs w:val="18"/>
          <w:lang w:val="fi-FI"/>
        </w:rPr>
        <w:t>Lembaga</w:t>
      </w:r>
      <w:proofErr w:type="spellEnd"/>
      <w:r w:rsidRPr="00F926A9">
        <w:rPr>
          <w:rFonts w:ascii="Cambria" w:hAnsi="Cambria"/>
          <w:sz w:val="18"/>
          <w:szCs w:val="18"/>
          <w:lang w:val="fi-FI"/>
        </w:rPr>
        <w:t xml:space="preserve"> </w:t>
      </w:r>
      <w:proofErr w:type="spellStart"/>
      <w:r w:rsidRPr="00F926A9">
        <w:rPr>
          <w:rFonts w:ascii="Cambria" w:hAnsi="Cambria"/>
          <w:sz w:val="18"/>
          <w:szCs w:val="18"/>
          <w:lang w:val="fi-FI"/>
        </w:rPr>
        <w:t>Manajemen</w:t>
      </w:r>
      <w:proofErr w:type="spellEnd"/>
      <w:r w:rsidRPr="00F926A9">
        <w:rPr>
          <w:rFonts w:ascii="Cambria" w:hAnsi="Cambria"/>
          <w:sz w:val="18"/>
          <w:szCs w:val="18"/>
          <w:lang w:val="fi-FI"/>
        </w:rPr>
        <w:t xml:space="preserve"> </w:t>
      </w:r>
      <w:proofErr w:type="spellStart"/>
      <w:r w:rsidRPr="00F926A9">
        <w:rPr>
          <w:rFonts w:ascii="Cambria" w:hAnsi="Cambria"/>
          <w:sz w:val="18"/>
          <w:szCs w:val="18"/>
          <w:lang w:val="fi-FI"/>
        </w:rPr>
        <w:t>Kolektif</w:t>
      </w:r>
      <w:proofErr w:type="spellEnd"/>
      <w:r w:rsidRPr="00F926A9">
        <w:rPr>
          <w:rFonts w:ascii="Cambria" w:hAnsi="Cambria"/>
          <w:sz w:val="18"/>
          <w:szCs w:val="18"/>
          <w:lang w:val="fi-FI"/>
        </w:rPr>
        <w:t xml:space="preserve"> </w:t>
      </w:r>
      <w:proofErr w:type="spellStart"/>
      <w:r w:rsidRPr="00F926A9">
        <w:rPr>
          <w:rFonts w:ascii="Cambria" w:hAnsi="Cambria"/>
          <w:sz w:val="18"/>
          <w:szCs w:val="18"/>
          <w:lang w:val="fi-FI"/>
        </w:rPr>
        <w:t>Nasional</w:t>
      </w:r>
      <w:proofErr w:type="spellEnd"/>
      <w:r w:rsidRPr="00F926A9">
        <w:rPr>
          <w:rFonts w:ascii="Cambria" w:hAnsi="Cambria"/>
          <w:sz w:val="18"/>
          <w:szCs w:val="18"/>
          <w:lang w:val="fi-FI"/>
        </w:rPr>
        <w:t>, "</w:t>
      </w:r>
      <w:proofErr w:type="spellStart"/>
      <w:r w:rsidRPr="00F926A9">
        <w:rPr>
          <w:rFonts w:ascii="Cambria" w:hAnsi="Cambria"/>
          <w:sz w:val="18"/>
          <w:szCs w:val="18"/>
          <w:lang w:val="fi-FI"/>
        </w:rPr>
        <w:t>Kinerja</w:t>
      </w:r>
      <w:proofErr w:type="spellEnd"/>
      <w:r w:rsidRPr="00F926A9">
        <w:rPr>
          <w:rFonts w:ascii="Cambria" w:hAnsi="Cambria"/>
          <w:sz w:val="18"/>
          <w:szCs w:val="18"/>
          <w:lang w:val="fi-FI"/>
        </w:rPr>
        <w:t xml:space="preserve"> LMKN 2025 </w:t>
      </w:r>
      <w:proofErr w:type="spellStart"/>
      <w:r w:rsidRPr="00F926A9">
        <w:rPr>
          <w:rFonts w:ascii="Cambria" w:hAnsi="Cambria"/>
          <w:sz w:val="18"/>
          <w:szCs w:val="18"/>
          <w:lang w:val="fi-FI"/>
        </w:rPr>
        <w:t>dalam</w:t>
      </w:r>
      <w:proofErr w:type="spellEnd"/>
      <w:r w:rsidRPr="00F926A9">
        <w:rPr>
          <w:rFonts w:ascii="Cambria" w:hAnsi="Cambria"/>
          <w:sz w:val="18"/>
          <w:szCs w:val="18"/>
          <w:lang w:val="fi-FI"/>
        </w:rPr>
        <w:t xml:space="preserve"> </w:t>
      </w:r>
      <w:proofErr w:type="spellStart"/>
      <w:r w:rsidRPr="00F926A9">
        <w:rPr>
          <w:rFonts w:ascii="Cambria" w:hAnsi="Cambria"/>
          <w:sz w:val="18"/>
          <w:szCs w:val="18"/>
          <w:lang w:val="fi-FI"/>
        </w:rPr>
        <w:t>Angka</w:t>
      </w:r>
      <w:proofErr w:type="spellEnd"/>
      <w:r w:rsidRPr="00F926A9">
        <w:rPr>
          <w:rFonts w:ascii="Cambria" w:hAnsi="Cambria"/>
          <w:sz w:val="18"/>
          <w:szCs w:val="18"/>
          <w:lang w:val="fi-FI"/>
        </w:rPr>
        <w:t xml:space="preserve">: </w:t>
      </w:r>
      <w:proofErr w:type="spellStart"/>
      <w:r w:rsidRPr="00F926A9">
        <w:rPr>
          <w:rFonts w:ascii="Cambria" w:hAnsi="Cambria"/>
          <w:sz w:val="18"/>
          <w:szCs w:val="18"/>
          <w:lang w:val="fi-FI"/>
        </w:rPr>
        <w:t>Penghimpunan</w:t>
      </w:r>
      <w:proofErr w:type="spellEnd"/>
      <w:r w:rsidRPr="00F926A9">
        <w:rPr>
          <w:rFonts w:ascii="Cambria" w:hAnsi="Cambria"/>
          <w:sz w:val="18"/>
          <w:szCs w:val="18"/>
          <w:lang w:val="fi-FI"/>
        </w:rPr>
        <w:t xml:space="preserve"> </w:t>
      </w:r>
      <w:proofErr w:type="spellStart"/>
      <w:r w:rsidRPr="00F926A9">
        <w:rPr>
          <w:rFonts w:ascii="Cambria" w:hAnsi="Cambria"/>
          <w:sz w:val="18"/>
          <w:szCs w:val="18"/>
          <w:lang w:val="fi-FI"/>
        </w:rPr>
        <w:t>dan</w:t>
      </w:r>
      <w:proofErr w:type="spellEnd"/>
      <w:r w:rsidRPr="00F926A9">
        <w:rPr>
          <w:rFonts w:ascii="Cambria" w:hAnsi="Cambria"/>
          <w:sz w:val="18"/>
          <w:szCs w:val="18"/>
          <w:lang w:val="fi-FI"/>
        </w:rPr>
        <w:t xml:space="preserve"> </w:t>
      </w:r>
      <w:proofErr w:type="spellStart"/>
      <w:r w:rsidRPr="00F926A9">
        <w:rPr>
          <w:rFonts w:ascii="Cambria" w:hAnsi="Cambria"/>
          <w:sz w:val="18"/>
          <w:szCs w:val="18"/>
          <w:lang w:val="fi-FI"/>
        </w:rPr>
        <w:t>Distribusi</w:t>
      </w:r>
      <w:proofErr w:type="spellEnd"/>
      <w:r w:rsidRPr="00F926A9">
        <w:rPr>
          <w:rFonts w:ascii="Cambria" w:hAnsi="Cambria"/>
          <w:sz w:val="18"/>
          <w:szCs w:val="18"/>
          <w:lang w:val="fi-FI"/>
        </w:rPr>
        <w:t xml:space="preserve"> </w:t>
      </w:r>
      <w:proofErr w:type="spellStart"/>
      <w:r w:rsidRPr="00F926A9">
        <w:rPr>
          <w:rFonts w:ascii="Cambria" w:hAnsi="Cambria"/>
          <w:sz w:val="18"/>
          <w:szCs w:val="18"/>
          <w:lang w:val="fi-FI"/>
        </w:rPr>
        <w:t>Royalti</w:t>
      </w:r>
      <w:proofErr w:type="spellEnd"/>
      <w:r w:rsidRPr="00F926A9">
        <w:rPr>
          <w:rFonts w:ascii="Cambria" w:hAnsi="Cambria"/>
          <w:sz w:val="18"/>
          <w:szCs w:val="18"/>
          <w:lang w:val="fi-FI"/>
        </w:rPr>
        <w:t>," lmkn.id, 2026, https://www.lmkn.id/berita/artikel-original/kinerja-lmkn-2025-dalam-angka-penghimpunan-dan-distribusi-royalti.</w:t>
      </w:r>
    </w:p>
  </w:footnote>
  <w:footnote w:id="15">
    <w:p w14:paraId="70AD29E6" w14:textId="77777777" w:rsidR="00C16486" w:rsidRPr="00C16486" w:rsidRDefault="00C16486" w:rsidP="00C16486">
      <w:pPr>
        <w:spacing w:after="0" w:line="240" w:lineRule="auto"/>
        <w:jc w:val="both"/>
        <w:rPr>
          <w:rFonts w:ascii="Cambria" w:hAnsi="Cambria" w:cs="Cambria"/>
          <w:sz w:val="18"/>
          <w:szCs w:val="18"/>
          <w:lang w:val="fi-FI"/>
        </w:rPr>
      </w:pPr>
      <w:r w:rsidRPr="00C16486">
        <w:rPr>
          <w:rStyle w:val="FootnoteReference"/>
          <w:rFonts w:ascii="Cambria" w:hAnsi="Cambria"/>
          <w:sz w:val="18"/>
          <w:szCs w:val="18"/>
        </w:rPr>
        <w:footnoteRef/>
      </w:r>
      <w:proofErr w:type="spellStart"/>
      <w:r w:rsidRPr="00C16486">
        <w:rPr>
          <w:rFonts w:ascii="Cambria" w:hAnsi="Cambria"/>
          <w:sz w:val="18"/>
          <w:szCs w:val="18"/>
          <w:lang w:val="fi-FI"/>
        </w:rPr>
        <w:t>Soerjono</w:t>
      </w:r>
      <w:proofErr w:type="spellEnd"/>
      <w:r w:rsidRPr="00C16486">
        <w:rPr>
          <w:rFonts w:ascii="Cambria" w:hAnsi="Cambria"/>
          <w:sz w:val="18"/>
          <w:szCs w:val="18"/>
          <w:lang w:val="fi-FI"/>
        </w:rPr>
        <w:t xml:space="preserve"> </w:t>
      </w:r>
      <w:proofErr w:type="spellStart"/>
      <w:r w:rsidRPr="00C16486">
        <w:rPr>
          <w:rFonts w:ascii="Cambria" w:hAnsi="Cambria"/>
          <w:sz w:val="18"/>
          <w:szCs w:val="18"/>
          <w:lang w:val="fi-FI"/>
        </w:rPr>
        <w:t>Soekanto</w:t>
      </w:r>
      <w:proofErr w:type="spellEnd"/>
      <w:r w:rsidRPr="00C16486">
        <w:rPr>
          <w:rFonts w:ascii="Cambria" w:hAnsi="Cambria"/>
          <w:sz w:val="18"/>
          <w:szCs w:val="18"/>
          <w:lang w:val="fi-FI"/>
        </w:rPr>
        <w:t xml:space="preserve">, </w:t>
      </w:r>
      <w:proofErr w:type="spellStart"/>
      <w:r w:rsidRPr="00C16486">
        <w:rPr>
          <w:rFonts w:ascii="Cambria" w:hAnsi="Cambria"/>
          <w:i/>
          <w:iCs/>
          <w:sz w:val="18"/>
          <w:szCs w:val="18"/>
          <w:lang w:val="fi-FI"/>
        </w:rPr>
        <w:t>Faktor-Faktor</w:t>
      </w:r>
      <w:proofErr w:type="spellEnd"/>
      <w:r w:rsidRPr="00C16486">
        <w:rPr>
          <w:rFonts w:ascii="Cambria" w:hAnsi="Cambria"/>
          <w:i/>
          <w:iCs/>
          <w:sz w:val="18"/>
          <w:szCs w:val="18"/>
          <w:lang w:val="fi-FI"/>
        </w:rPr>
        <w:t xml:space="preserve"> </w:t>
      </w:r>
      <w:proofErr w:type="spellStart"/>
      <w:r w:rsidRPr="00C16486">
        <w:rPr>
          <w:rFonts w:ascii="Cambria" w:hAnsi="Cambria"/>
          <w:i/>
          <w:iCs/>
          <w:sz w:val="18"/>
          <w:szCs w:val="18"/>
          <w:lang w:val="fi-FI"/>
        </w:rPr>
        <w:t>yang</w:t>
      </w:r>
      <w:proofErr w:type="spellEnd"/>
      <w:r w:rsidRPr="00C16486">
        <w:rPr>
          <w:rFonts w:ascii="Cambria" w:hAnsi="Cambria"/>
          <w:i/>
          <w:iCs/>
          <w:sz w:val="18"/>
          <w:szCs w:val="18"/>
          <w:lang w:val="fi-FI"/>
        </w:rPr>
        <w:t xml:space="preserve"> </w:t>
      </w:r>
      <w:proofErr w:type="spellStart"/>
      <w:r w:rsidRPr="00C16486">
        <w:rPr>
          <w:rFonts w:ascii="Cambria" w:hAnsi="Cambria"/>
          <w:i/>
          <w:iCs/>
          <w:sz w:val="18"/>
          <w:szCs w:val="18"/>
          <w:lang w:val="fi-FI"/>
        </w:rPr>
        <w:t>Mempengaruhi</w:t>
      </w:r>
      <w:proofErr w:type="spellEnd"/>
      <w:r w:rsidRPr="00C16486">
        <w:rPr>
          <w:rFonts w:ascii="Cambria" w:hAnsi="Cambria"/>
          <w:i/>
          <w:iCs/>
          <w:sz w:val="18"/>
          <w:szCs w:val="18"/>
          <w:lang w:val="fi-FI"/>
        </w:rPr>
        <w:t xml:space="preserve"> </w:t>
      </w:r>
      <w:proofErr w:type="spellStart"/>
      <w:r w:rsidRPr="00C16486">
        <w:rPr>
          <w:rFonts w:ascii="Cambria" w:hAnsi="Cambria"/>
          <w:i/>
          <w:iCs/>
          <w:sz w:val="18"/>
          <w:szCs w:val="18"/>
          <w:lang w:val="fi-FI"/>
        </w:rPr>
        <w:t>Penegakan</w:t>
      </w:r>
      <w:proofErr w:type="spellEnd"/>
      <w:r w:rsidRPr="00C16486">
        <w:rPr>
          <w:rFonts w:ascii="Cambria" w:hAnsi="Cambria"/>
          <w:i/>
          <w:iCs/>
          <w:sz w:val="18"/>
          <w:szCs w:val="18"/>
          <w:lang w:val="fi-FI"/>
        </w:rPr>
        <w:t xml:space="preserve"> </w:t>
      </w:r>
      <w:proofErr w:type="spellStart"/>
      <w:r w:rsidRPr="00C16486">
        <w:rPr>
          <w:rFonts w:ascii="Cambria" w:hAnsi="Cambria"/>
          <w:i/>
          <w:iCs/>
          <w:sz w:val="18"/>
          <w:szCs w:val="18"/>
          <w:lang w:val="fi-FI"/>
        </w:rPr>
        <w:t>Hukum</w:t>
      </w:r>
      <w:proofErr w:type="spellEnd"/>
      <w:r w:rsidRPr="00C16486">
        <w:rPr>
          <w:rFonts w:ascii="Cambria" w:hAnsi="Cambria"/>
          <w:sz w:val="18"/>
          <w:szCs w:val="18"/>
          <w:lang w:val="fi-FI"/>
        </w:rPr>
        <w:t xml:space="preserve"> (Jakarta: </w:t>
      </w:r>
      <w:proofErr w:type="spellStart"/>
      <w:r w:rsidRPr="00C16486">
        <w:rPr>
          <w:rFonts w:ascii="Cambria" w:hAnsi="Cambria"/>
          <w:sz w:val="18"/>
          <w:szCs w:val="18"/>
          <w:lang w:val="fi-FI"/>
        </w:rPr>
        <w:t>Rajawali</w:t>
      </w:r>
      <w:proofErr w:type="spellEnd"/>
      <w:r w:rsidRPr="00C16486">
        <w:rPr>
          <w:rFonts w:ascii="Cambria" w:hAnsi="Cambria"/>
          <w:sz w:val="18"/>
          <w:szCs w:val="18"/>
          <w:lang w:val="fi-FI"/>
        </w:rPr>
        <w:t xml:space="preserve"> </w:t>
      </w:r>
      <w:proofErr w:type="spellStart"/>
      <w:r w:rsidRPr="00C16486">
        <w:rPr>
          <w:rFonts w:ascii="Cambria" w:hAnsi="Cambria"/>
          <w:sz w:val="18"/>
          <w:szCs w:val="18"/>
          <w:lang w:val="fi-FI"/>
        </w:rPr>
        <w:t>Pers</w:t>
      </w:r>
      <w:proofErr w:type="spellEnd"/>
      <w:r w:rsidRPr="00C16486">
        <w:rPr>
          <w:rFonts w:ascii="Cambria" w:hAnsi="Cambria"/>
          <w:sz w:val="18"/>
          <w:szCs w:val="18"/>
          <w:lang w:val="fi-FI"/>
        </w:rPr>
        <w:t>, 2014), 8–9.</w:t>
      </w:r>
    </w:p>
  </w:footnote>
  <w:footnote w:id="16">
    <w:p w14:paraId="3E2D4F0C" w14:textId="77777777" w:rsidR="00C16486" w:rsidRPr="00C16486" w:rsidRDefault="00C16486" w:rsidP="00C16486">
      <w:pPr>
        <w:spacing w:after="0" w:line="240" w:lineRule="auto"/>
        <w:jc w:val="both"/>
        <w:rPr>
          <w:rFonts w:ascii="Cambria" w:hAnsi="Cambria"/>
          <w:sz w:val="18"/>
          <w:szCs w:val="18"/>
        </w:rPr>
      </w:pPr>
      <w:r w:rsidRPr="00C16486">
        <w:rPr>
          <w:rStyle w:val="FootnoteReference"/>
          <w:rFonts w:ascii="Cambria" w:hAnsi="Cambria"/>
          <w:sz w:val="18"/>
          <w:szCs w:val="18"/>
        </w:rPr>
        <w:footnoteRef/>
      </w:r>
      <w:r w:rsidRPr="00C16486">
        <w:rPr>
          <w:rFonts w:ascii="Cambria" w:hAnsi="Cambria"/>
          <w:sz w:val="18"/>
          <w:szCs w:val="18"/>
        </w:rPr>
        <w:t xml:space="preserve">Lawrence M. Friedman, </w:t>
      </w:r>
      <w:r w:rsidRPr="00C16486">
        <w:rPr>
          <w:rFonts w:ascii="Cambria" w:hAnsi="Cambria"/>
          <w:i/>
          <w:iCs/>
          <w:sz w:val="18"/>
          <w:szCs w:val="18"/>
        </w:rPr>
        <w:t>The Legal System: A Social Science Perspective</w:t>
      </w:r>
      <w:r w:rsidRPr="00C16486">
        <w:rPr>
          <w:rFonts w:ascii="Cambria" w:hAnsi="Cambria"/>
          <w:sz w:val="18"/>
          <w:szCs w:val="18"/>
        </w:rPr>
        <w:t xml:space="preserve"> (New York: Russell Sage Foundation, 1975), 14–16.</w:t>
      </w:r>
    </w:p>
  </w:footnote>
  <w:footnote w:id="17">
    <w:p w14:paraId="6B3E47D0" w14:textId="77777777" w:rsidR="00C16486" w:rsidRPr="00C16486" w:rsidRDefault="00C16486" w:rsidP="00C16486">
      <w:pPr>
        <w:spacing w:after="0" w:line="240" w:lineRule="auto"/>
        <w:jc w:val="both"/>
        <w:rPr>
          <w:rFonts w:ascii="Cambria" w:hAnsi="Cambria"/>
          <w:sz w:val="18"/>
          <w:szCs w:val="18"/>
        </w:rPr>
      </w:pPr>
      <w:r w:rsidRPr="00C16486">
        <w:rPr>
          <w:rStyle w:val="FootnoteReference"/>
          <w:rFonts w:ascii="Cambria" w:hAnsi="Cambria"/>
          <w:sz w:val="18"/>
          <w:szCs w:val="18"/>
        </w:rPr>
        <w:footnoteRef/>
      </w:r>
      <w:proofErr w:type="spellStart"/>
      <w:r w:rsidRPr="00C16486">
        <w:rPr>
          <w:rFonts w:ascii="Cambria" w:hAnsi="Cambria"/>
          <w:sz w:val="18"/>
          <w:szCs w:val="18"/>
        </w:rPr>
        <w:t>Philipus</w:t>
      </w:r>
      <w:proofErr w:type="spellEnd"/>
      <w:r w:rsidRPr="00C16486">
        <w:rPr>
          <w:rFonts w:ascii="Cambria" w:hAnsi="Cambria"/>
          <w:sz w:val="18"/>
          <w:szCs w:val="18"/>
        </w:rPr>
        <w:t xml:space="preserve"> M. </w:t>
      </w:r>
      <w:proofErr w:type="spellStart"/>
      <w:r w:rsidRPr="00C16486">
        <w:rPr>
          <w:rFonts w:ascii="Cambria" w:hAnsi="Cambria"/>
          <w:sz w:val="18"/>
          <w:szCs w:val="18"/>
        </w:rPr>
        <w:t>Hadjon</w:t>
      </w:r>
      <w:proofErr w:type="spellEnd"/>
      <w:r w:rsidRPr="00C16486">
        <w:rPr>
          <w:rFonts w:ascii="Cambria" w:hAnsi="Cambria"/>
          <w:sz w:val="18"/>
          <w:szCs w:val="18"/>
        </w:rPr>
        <w:t xml:space="preserve">, </w:t>
      </w:r>
      <w:proofErr w:type="spellStart"/>
      <w:r w:rsidRPr="00C16486">
        <w:rPr>
          <w:rFonts w:ascii="Cambria" w:hAnsi="Cambria"/>
          <w:i/>
          <w:iCs/>
          <w:sz w:val="18"/>
          <w:szCs w:val="18"/>
        </w:rPr>
        <w:t>Perlindungan</w:t>
      </w:r>
      <w:proofErr w:type="spellEnd"/>
      <w:r w:rsidRPr="00C16486">
        <w:rPr>
          <w:rFonts w:ascii="Cambria" w:hAnsi="Cambria"/>
          <w:i/>
          <w:iCs/>
          <w:sz w:val="18"/>
          <w:szCs w:val="18"/>
        </w:rPr>
        <w:t xml:space="preserve"> Hukum bagi Rakyat di Indonesia</w:t>
      </w:r>
      <w:r w:rsidRPr="00C16486">
        <w:rPr>
          <w:rFonts w:ascii="Cambria" w:hAnsi="Cambria"/>
          <w:sz w:val="18"/>
          <w:szCs w:val="18"/>
        </w:rPr>
        <w:t xml:space="preserve"> (Surabaya: Bina Ilmu, 1987), 2–5.</w:t>
      </w:r>
    </w:p>
  </w:footnote>
  <w:footnote w:id="18">
    <w:p w14:paraId="4F55E934" w14:textId="77777777" w:rsidR="00C16486" w:rsidRPr="00C16486" w:rsidRDefault="00C16486" w:rsidP="00C16486">
      <w:pPr>
        <w:spacing w:after="0" w:line="240" w:lineRule="auto"/>
        <w:jc w:val="both"/>
        <w:rPr>
          <w:rFonts w:ascii="Cambria" w:hAnsi="Cambria"/>
          <w:sz w:val="18"/>
          <w:szCs w:val="18"/>
        </w:rPr>
      </w:pPr>
      <w:r w:rsidRPr="00C16486">
        <w:rPr>
          <w:rStyle w:val="FootnoteReference"/>
          <w:rFonts w:ascii="Cambria" w:hAnsi="Cambria"/>
          <w:sz w:val="18"/>
          <w:szCs w:val="18"/>
        </w:rPr>
        <w:footnoteRef/>
      </w:r>
      <w:r w:rsidRPr="00C16486">
        <w:rPr>
          <w:rFonts w:ascii="Cambria" w:hAnsi="Cambria"/>
          <w:sz w:val="18"/>
          <w:szCs w:val="18"/>
        </w:rPr>
        <w:t xml:space="preserve">Ian Ayres and John Braithwaite, </w:t>
      </w:r>
      <w:r w:rsidRPr="00C16486">
        <w:rPr>
          <w:rFonts w:ascii="Cambria" w:hAnsi="Cambria"/>
          <w:i/>
          <w:iCs/>
          <w:sz w:val="18"/>
          <w:szCs w:val="18"/>
        </w:rPr>
        <w:t>Responsive Regulation: Transcending the Deregulation Debate</w:t>
      </w:r>
      <w:r w:rsidRPr="00C16486">
        <w:rPr>
          <w:rFonts w:ascii="Cambria" w:hAnsi="Cambria"/>
          <w:sz w:val="18"/>
          <w:szCs w:val="18"/>
        </w:rPr>
        <w:t xml:space="preserve"> (New York: Oxford University Press, 1992), 35–40.</w:t>
      </w:r>
    </w:p>
  </w:footnote>
  <w:footnote w:id="19">
    <w:p w14:paraId="2DE0466F" w14:textId="77777777" w:rsidR="00C16486" w:rsidRDefault="00C16486" w:rsidP="00C16486">
      <w:pPr>
        <w:spacing w:after="0" w:line="240" w:lineRule="auto"/>
        <w:jc w:val="both"/>
      </w:pPr>
      <w:r w:rsidRPr="00C16486">
        <w:rPr>
          <w:rStyle w:val="FootnoteReference"/>
          <w:rFonts w:ascii="Cambria" w:hAnsi="Cambria"/>
          <w:sz w:val="18"/>
          <w:szCs w:val="18"/>
        </w:rPr>
        <w:footnoteRef/>
      </w:r>
      <w:r w:rsidRPr="00C16486">
        <w:rPr>
          <w:rFonts w:ascii="Cambria" w:hAnsi="Cambria"/>
          <w:sz w:val="18"/>
          <w:szCs w:val="18"/>
        </w:rPr>
        <w:t xml:space="preserve">John Braithwaite, </w:t>
      </w:r>
      <w:r w:rsidRPr="00C16486">
        <w:rPr>
          <w:rFonts w:ascii="Cambria" w:hAnsi="Cambria"/>
          <w:i/>
          <w:iCs/>
          <w:sz w:val="18"/>
          <w:szCs w:val="18"/>
        </w:rPr>
        <w:t>Crime, Shame and Reintegration</w:t>
      </w:r>
      <w:r w:rsidRPr="00C16486">
        <w:rPr>
          <w:rFonts w:ascii="Cambria" w:hAnsi="Cambria"/>
          <w:sz w:val="18"/>
          <w:szCs w:val="18"/>
        </w:rPr>
        <w:t xml:space="preserve"> (Cambridge: Cambridge University Press, 1989), 100–103.</w:t>
      </w:r>
    </w:p>
  </w:footnote>
  <w:footnote w:id="20">
    <w:p w14:paraId="0FFAE24D" w14:textId="77777777" w:rsidR="00C16486" w:rsidRPr="00C16486" w:rsidRDefault="00C16486" w:rsidP="00C16486">
      <w:pPr>
        <w:spacing w:line="240" w:lineRule="auto"/>
        <w:jc w:val="both"/>
        <w:rPr>
          <w:rFonts w:ascii="Cambria" w:hAnsi="Cambria"/>
          <w:sz w:val="18"/>
          <w:szCs w:val="18"/>
        </w:rPr>
      </w:pPr>
      <w:r w:rsidRPr="00C16486">
        <w:rPr>
          <w:rStyle w:val="FootnoteReference"/>
          <w:rFonts w:ascii="Cambria" w:hAnsi="Cambria"/>
          <w:sz w:val="18"/>
          <w:szCs w:val="18"/>
        </w:rPr>
        <w:footnoteRef/>
      </w:r>
      <w:r w:rsidRPr="00C16486">
        <w:rPr>
          <w:rFonts w:ascii="Cambria" w:hAnsi="Cambria"/>
          <w:sz w:val="18"/>
          <w:szCs w:val="18"/>
        </w:rPr>
        <w:t xml:space="preserve">Howard Zehr, </w:t>
      </w:r>
      <w:r w:rsidRPr="00C16486">
        <w:rPr>
          <w:rFonts w:ascii="Cambria" w:hAnsi="Cambria"/>
          <w:i/>
          <w:iCs/>
          <w:sz w:val="18"/>
          <w:szCs w:val="18"/>
        </w:rPr>
        <w:t>The Little Book of Restorative Justice</w:t>
      </w:r>
      <w:r w:rsidRPr="00C16486">
        <w:rPr>
          <w:rFonts w:ascii="Cambria" w:hAnsi="Cambria"/>
          <w:sz w:val="18"/>
          <w:szCs w:val="18"/>
        </w:rPr>
        <w:t>, rev. ed. (New York: Good Books, 2015), 30–33.</w:t>
      </w:r>
    </w:p>
  </w:footnote>
  <w:footnote w:id="21">
    <w:p w14:paraId="4FE362A6" w14:textId="77777777" w:rsidR="00C16486" w:rsidRDefault="00C16486" w:rsidP="00C16486">
      <w:pPr>
        <w:rPr>
          <w:rFonts w:ascii="Cambria" w:hAnsi="Cambria" w:cs="Cambria"/>
        </w:rPr>
      </w:pPr>
    </w:p>
    <w:p w14:paraId="614C51D2" w14:textId="77777777" w:rsidR="00C16486" w:rsidRDefault="00C16486" w:rsidP="00C16486"/>
  </w:footnote>
  <w:footnote w:id="22">
    <w:p w14:paraId="47EBC51F" w14:textId="77777777" w:rsidR="00C16486" w:rsidRDefault="00C16486" w:rsidP="00C16486">
      <w:pPr>
        <w:spacing w:line="240" w:lineRule="auto"/>
        <w:jc w:val="both"/>
      </w:pPr>
      <w:r>
        <w:rPr>
          <w:rStyle w:val="FootnoteReference"/>
        </w:rPr>
        <w:footnoteRef/>
      </w:r>
      <w:r>
        <w:rPr>
          <w:sz w:val="18"/>
          <w:szCs w:val="18"/>
        </w:rPr>
        <w:t xml:space="preserve">Merdeka.com, "Polda Bali </w:t>
      </w:r>
      <w:proofErr w:type="spellStart"/>
      <w:r>
        <w:rPr>
          <w:sz w:val="18"/>
          <w:szCs w:val="18"/>
        </w:rPr>
        <w:t>Akhirnya</w:t>
      </w:r>
      <w:proofErr w:type="spellEnd"/>
      <w:r>
        <w:rPr>
          <w:sz w:val="18"/>
          <w:szCs w:val="18"/>
        </w:rPr>
        <w:t xml:space="preserve"> </w:t>
      </w:r>
      <w:proofErr w:type="spellStart"/>
      <w:r>
        <w:rPr>
          <w:sz w:val="18"/>
          <w:szCs w:val="18"/>
        </w:rPr>
        <w:t>Hentikan</w:t>
      </w:r>
      <w:proofErr w:type="spellEnd"/>
      <w:r>
        <w:rPr>
          <w:sz w:val="18"/>
          <w:szCs w:val="18"/>
        </w:rPr>
        <w:t xml:space="preserve"> </w:t>
      </w:r>
      <w:proofErr w:type="spellStart"/>
      <w:r>
        <w:rPr>
          <w:sz w:val="18"/>
          <w:szCs w:val="18"/>
        </w:rPr>
        <w:t>Kasus</w:t>
      </w:r>
      <w:proofErr w:type="spellEnd"/>
      <w:r>
        <w:rPr>
          <w:sz w:val="18"/>
          <w:szCs w:val="18"/>
        </w:rPr>
        <w:t xml:space="preserve"> Royalti Musik Mie Gacoan </w:t>
      </w:r>
      <w:proofErr w:type="spellStart"/>
      <w:r>
        <w:rPr>
          <w:sz w:val="18"/>
          <w:szCs w:val="18"/>
        </w:rPr>
        <w:t>Setelah</w:t>
      </w:r>
      <w:proofErr w:type="spellEnd"/>
      <w:r>
        <w:rPr>
          <w:sz w:val="18"/>
          <w:szCs w:val="18"/>
        </w:rPr>
        <w:t xml:space="preserve"> </w:t>
      </w:r>
      <w:proofErr w:type="spellStart"/>
      <w:r>
        <w:rPr>
          <w:sz w:val="18"/>
          <w:szCs w:val="18"/>
        </w:rPr>
        <w:t>Pembayaran</w:t>
      </w:r>
      <w:proofErr w:type="spellEnd"/>
      <w:r>
        <w:rPr>
          <w:sz w:val="18"/>
          <w:szCs w:val="18"/>
        </w:rPr>
        <w:t xml:space="preserve"> Rp 2,2 Miliar," merdeka.com, 29 August 2025, https://www.merdeka.com/peristiwa/polda-bali-akhirnya-hentikan-kasus-royalti-musik-mie-gacoan-setelah-pembayaran-rp-22-miliar-460613-mvk.html.</w:t>
      </w:r>
    </w:p>
  </w:footnote>
  <w:footnote w:id="23">
    <w:p w14:paraId="3AF61C51" w14:textId="77777777" w:rsidR="00C16486" w:rsidRPr="00C16486" w:rsidRDefault="00C16486" w:rsidP="00C16486">
      <w:pPr>
        <w:spacing w:after="0" w:line="240" w:lineRule="auto"/>
        <w:jc w:val="both"/>
        <w:rPr>
          <w:rFonts w:ascii="Cambria" w:hAnsi="Cambria"/>
          <w:sz w:val="18"/>
          <w:szCs w:val="18"/>
        </w:rPr>
      </w:pPr>
      <w:r w:rsidRPr="00C16486">
        <w:rPr>
          <w:rStyle w:val="FootnoteReference"/>
          <w:rFonts w:ascii="Cambria" w:hAnsi="Cambria"/>
          <w:sz w:val="18"/>
          <w:szCs w:val="18"/>
        </w:rPr>
        <w:footnoteRef/>
      </w:r>
      <w:proofErr w:type="spellStart"/>
      <w:r w:rsidRPr="00C16486">
        <w:rPr>
          <w:rFonts w:ascii="Cambria" w:hAnsi="Cambria"/>
          <w:sz w:val="18"/>
          <w:szCs w:val="18"/>
        </w:rPr>
        <w:t>Satjipto</w:t>
      </w:r>
      <w:proofErr w:type="spellEnd"/>
      <w:r w:rsidRPr="00C16486">
        <w:rPr>
          <w:rFonts w:ascii="Cambria" w:hAnsi="Cambria"/>
          <w:sz w:val="18"/>
          <w:szCs w:val="18"/>
        </w:rPr>
        <w:t xml:space="preserve"> Rahardjo, </w:t>
      </w:r>
      <w:proofErr w:type="spellStart"/>
      <w:r w:rsidRPr="00C16486">
        <w:rPr>
          <w:rFonts w:ascii="Cambria" w:hAnsi="Cambria"/>
          <w:i/>
          <w:iCs/>
          <w:sz w:val="18"/>
          <w:szCs w:val="18"/>
        </w:rPr>
        <w:t>Masalah</w:t>
      </w:r>
      <w:proofErr w:type="spellEnd"/>
      <w:r w:rsidRPr="00C16486">
        <w:rPr>
          <w:rFonts w:ascii="Cambria" w:hAnsi="Cambria"/>
          <w:i/>
          <w:iCs/>
          <w:sz w:val="18"/>
          <w:szCs w:val="18"/>
        </w:rPr>
        <w:t xml:space="preserve"> </w:t>
      </w:r>
      <w:proofErr w:type="spellStart"/>
      <w:r w:rsidRPr="00C16486">
        <w:rPr>
          <w:rFonts w:ascii="Cambria" w:hAnsi="Cambria"/>
          <w:i/>
          <w:iCs/>
          <w:sz w:val="18"/>
          <w:szCs w:val="18"/>
        </w:rPr>
        <w:t>Penegakan</w:t>
      </w:r>
      <w:proofErr w:type="spellEnd"/>
      <w:r w:rsidRPr="00C16486">
        <w:rPr>
          <w:rFonts w:ascii="Cambria" w:hAnsi="Cambria"/>
          <w:i/>
          <w:iCs/>
          <w:sz w:val="18"/>
          <w:szCs w:val="18"/>
        </w:rPr>
        <w:t xml:space="preserve"> Hukum: </w:t>
      </w:r>
      <w:proofErr w:type="spellStart"/>
      <w:r w:rsidRPr="00C16486">
        <w:rPr>
          <w:rFonts w:ascii="Cambria" w:hAnsi="Cambria"/>
          <w:i/>
          <w:iCs/>
          <w:sz w:val="18"/>
          <w:szCs w:val="18"/>
        </w:rPr>
        <w:t>Suatu</w:t>
      </w:r>
      <w:proofErr w:type="spellEnd"/>
      <w:r w:rsidRPr="00C16486">
        <w:rPr>
          <w:rFonts w:ascii="Cambria" w:hAnsi="Cambria"/>
          <w:i/>
          <w:iCs/>
          <w:sz w:val="18"/>
          <w:szCs w:val="18"/>
        </w:rPr>
        <w:t xml:space="preserve"> </w:t>
      </w:r>
      <w:proofErr w:type="spellStart"/>
      <w:r w:rsidRPr="00C16486">
        <w:rPr>
          <w:rFonts w:ascii="Cambria" w:hAnsi="Cambria"/>
          <w:i/>
          <w:iCs/>
          <w:sz w:val="18"/>
          <w:szCs w:val="18"/>
        </w:rPr>
        <w:t>Tinjauan</w:t>
      </w:r>
      <w:proofErr w:type="spellEnd"/>
      <w:r w:rsidRPr="00C16486">
        <w:rPr>
          <w:rFonts w:ascii="Cambria" w:hAnsi="Cambria"/>
          <w:i/>
          <w:iCs/>
          <w:sz w:val="18"/>
          <w:szCs w:val="18"/>
        </w:rPr>
        <w:t xml:space="preserve"> </w:t>
      </w:r>
      <w:proofErr w:type="spellStart"/>
      <w:r w:rsidRPr="00C16486">
        <w:rPr>
          <w:rFonts w:ascii="Cambria" w:hAnsi="Cambria"/>
          <w:i/>
          <w:iCs/>
          <w:sz w:val="18"/>
          <w:szCs w:val="18"/>
        </w:rPr>
        <w:t>Sosiologis</w:t>
      </w:r>
      <w:proofErr w:type="spellEnd"/>
      <w:r w:rsidRPr="00C16486">
        <w:rPr>
          <w:rFonts w:ascii="Cambria" w:hAnsi="Cambria"/>
          <w:sz w:val="18"/>
          <w:szCs w:val="18"/>
        </w:rPr>
        <w:t xml:space="preserve"> (Bandung: Sinar Baru, 1983), 24.</w:t>
      </w:r>
    </w:p>
  </w:footnote>
  <w:footnote w:id="24">
    <w:p w14:paraId="0EA9120A" w14:textId="77777777" w:rsidR="00C16486" w:rsidRDefault="00C16486" w:rsidP="00C16486">
      <w:pPr>
        <w:spacing w:after="0" w:line="240" w:lineRule="auto"/>
        <w:jc w:val="both"/>
      </w:pPr>
      <w:r w:rsidRPr="00C16486">
        <w:rPr>
          <w:rStyle w:val="FootnoteReference"/>
          <w:rFonts w:ascii="Cambria" w:hAnsi="Cambria"/>
          <w:sz w:val="18"/>
          <w:szCs w:val="18"/>
        </w:rPr>
        <w:footnoteRef/>
      </w:r>
      <w:r w:rsidRPr="00C16486">
        <w:rPr>
          <w:rFonts w:ascii="Cambria" w:hAnsi="Cambria"/>
          <w:sz w:val="18"/>
          <w:szCs w:val="18"/>
        </w:rPr>
        <w:t xml:space="preserve">Radar Bali, "Bayar Royalti Rp 2,2 M, Status </w:t>
      </w:r>
      <w:proofErr w:type="spellStart"/>
      <w:r w:rsidRPr="00C16486">
        <w:rPr>
          <w:rFonts w:ascii="Cambria" w:hAnsi="Cambria"/>
          <w:sz w:val="18"/>
          <w:szCs w:val="18"/>
        </w:rPr>
        <w:t>Tersangka</w:t>
      </w:r>
      <w:proofErr w:type="spellEnd"/>
      <w:r w:rsidRPr="00C16486">
        <w:rPr>
          <w:rFonts w:ascii="Cambria" w:hAnsi="Cambria"/>
          <w:sz w:val="18"/>
          <w:szCs w:val="18"/>
        </w:rPr>
        <w:t xml:space="preserve"> </w:t>
      </w:r>
      <w:proofErr w:type="spellStart"/>
      <w:r w:rsidRPr="00C16486">
        <w:rPr>
          <w:rFonts w:ascii="Cambria" w:hAnsi="Cambria"/>
          <w:sz w:val="18"/>
          <w:szCs w:val="18"/>
        </w:rPr>
        <w:t>Direktur</w:t>
      </w:r>
      <w:proofErr w:type="spellEnd"/>
      <w:r w:rsidRPr="00C16486">
        <w:rPr>
          <w:rFonts w:ascii="Cambria" w:hAnsi="Cambria"/>
          <w:sz w:val="18"/>
          <w:szCs w:val="18"/>
        </w:rPr>
        <w:t xml:space="preserve"> Mie Gacoan Bakal </w:t>
      </w:r>
      <w:proofErr w:type="spellStart"/>
      <w:r w:rsidRPr="00C16486">
        <w:rPr>
          <w:rFonts w:ascii="Cambria" w:hAnsi="Cambria"/>
          <w:sz w:val="18"/>
          <w:szCs w:val="18"/>
        </w:rPr>
        <w:t>Dicabut</w:t>
      </w:r>
      <w:proofErr w:type="spellEnd"/>
      <w:r w:rsidRPr="00C16486">
        <w:rPr>
          <w:rFonts w:ascii="Cambria" w:hAnsi="Cambria"/>
          <w:sz w:val="18"/>
          <w:szCs w:val="18"/>
        </w:rPr>
        <w:t>," radarbali.jawapos.com, 9 August 2025.</w:t>
      </w:r>
    </w:p>
  </w:footnote>
  <w:footnote w:id="25">
    <w:p w14:paraId="4EAE11CA" w14:textId="77777777" w:rsidR="006E68E3" w:rsidRDefault="006E68E3" w:rsidP="006E68E3"/>
  </w:footnote>
  <w:footnote w:id="26">
    <w:p w14:paraId="06ED422F" w14:textId="77777777" w:rsidR="006E68E3" w:rsidRPr="006E68E3" w:rsidRDefault="006E68E3" w:rsidP="006E68E3">
      <w:pPr>
        <w:spacing w:line="240" w:lineRule="auto"/>
        <w:jc w:val="both"/>
        <w:rPr>
          <w:rFonts w:ascii="Cambria" w:hAnsi="Cambria"/>
          <w:sz w:val="18"/>
          <w:szCs w:val="18"/>
        </w:rPr>
      </w:pPr>
      <w:r w:rsidRPr="006E68E3">
        <w:rPr>
          <w:rStyle w:val="FootnoteReference"/>
          <w:rFonts w:ascii="Cambria" w:hAnsi="Cambria"/>
          <w:sz w:val="18"/>
          <w:szCs w:val="18"/>
        </w:rPr>
        <w:footnoteRef/>
      </w:r>
      <w:r w:rsidRPr="006E68E3">
        <w:rPr>
          <w:rFonts w:ascii="Cambria" w:hAnsi="Cambria"/>
          <w:sz w:val="18"/>
          <w:szCs w:val="18"/>
        </w:rPr>
        <w:t xml:space="preserve">Rahmi </w:t>
      </w:r>
      <w:proofErr w:type="spellStart"/>
      <w:r w:rsidRPr="006E68E3">
        <w:rPr>
          <w:rFonts w:ascii="Cambria" w:hAnsi="Cambria"/>
          <w:sz w:val="18"/>
          <w:szCs w:val="18"/>
        </w:rPr>
        <w:t>Jened</w:t>
      </w:r>
      <w:proofErr w:type="spellEnd"/>
      <w:r w:rsidRPr="006E68E3">
        <w:rPr>
          <w:rFonts w:ascii="Cambria" w:hAnsi="Cambria"/>
          <w:sz w:val="18"/>
          <w:szCs w:val="18"/>
        </w:rPr>
        <w:t xml:space="preserve">, </w:t>
      </w:r>
      <w:r w:rsidRPr="006E68E3">
        <w:rPr>
          <w:rFonts w:ascii="Cambria" w:hAnsi="Cambria"/>
          <w:i/>
          <w:iCs/>
          <w:sz w:val="18"/>
          <w:szCs w:val="18"/>
        </w:rPr>
        <w:t>Hukum Hak Cipta (Copyright Law)</w:t>
      </w:r>
      <w:r w:rsidRPr="006E68E3">
        <w:rPr>
          <w:rFonts w:ascii="Cambria" w:hAnsi="Cambria"/>
          <w:sz w:val="18"/>
          <w:szCs w:val="18"/>
        </w:rPr>
        <w:t xml:space="preserve"> (Bandung: Citra Aditya Bakti, 2014), 122–25.</w:t>
      </w:r>
    </w:p>
  </w:footnote>
  <w:footnote w:id="27">
    <w:p w14:paraId="3A170D48" w14:textId="77777777" w:rsidR="006E68E3" w:rsidRDefault="006E68E3" w:rsidP="006E68E3"/>
  </w:footnote>
  <w:footnote w:id="28">
    <w:p w14:paraId="2165458B" w14:textId="77777777" w:rsidR="006E68E3" w:rsidRPr="006E68E3" w:rsidRDefault="006E68E3" w:rsidP="006E68E3">
      <w:pPr>
        <w:spacing w:after="0" w:line="240" w:lineRule="auto"/>
        <w:jc w:val="both"/>
        <w:rPr>
          <w:rFonts w:ascii="Cambria" w:hAnsi="Cambria"/>
          <w:sz w:val="18"/>
          <w:szCs w:val="18"/>
        </w:rPr>
      </w:pPr>
      <w:r w:rsidRPr="006E68E3">
        <w:rPr>
          <w:rStyle w:val="FootnoteReference"/>
          <w:rFonts w:ascii="Cambria" w:hAnsi="Cambria"/>
          <w:sz w:val="18"/>
          <w:szCs w:val="18"/>
        </w:rPr>
        <w:footnoteRef/>
      </w:r>
      <w:r w:rsidRPr="006E68E3">
        <w:rPr>
          <w:rFonts w:ascii="Cambria" w:hAnsi="Cambria"/>
          <w:sz w:val="18"/>
          <w:szCs w:val="18"/>
        </w:rPr>
        <w:t xml:space="preserve">Otto Hasibuan, </w:t>
      </w:r>
      <w:r w:rsidRPr="006E68E3">
        <w:rPr>
          <w:rFonts w:ascii="Cambria" w:hAnsi="Cambria"/>
          <w:i/>
          <w:iCs/>
          <w:sz w:val="18"/>
          <w:szCs w:val="18"/>
        </w:rPr>
        <w:t xml:space="preserve">Hak Cipta di Indonesia: </w:t>
      </w:r>
      <w:proofErr w:type="spellStart"/>
      <w:r w:rsidRPr="006E68E3">
        <w:rPr>
          <w:rFonts w:ascii="Cambria" w:hAnsi="Cambria"/>
          <w:i/>
          <w:iCs/>
          <w:sz w:val="18"/>
          <w:szCs w:val="18"/>
        </w:rPr>
        <w:t>Tinjauan</w:t>
      </w:r>
      <w:proofErr w:type="spellEnd"/>
      <w:r w:rsidRPr="006E68E3">
        <w:rPr>
          <w:rFonts w:ascii="Cambria" w:hAnsi="Cambria"/>
          <w:i/>
          <w:iCs/>
          <w:sz w:val="18"/>
          <w:szCs w:val="18"/>
        </w:rPr>
        <w:t xml:space="preserve"> </w:t>
      </w:r>
      <w:proofErr w:type="spellStart"/>
      <w:r w:rsidRPr="006E68E3">
        <w:rPr>
          <w:rFonts w:ascii="Cambria" w:hAnsi="Cambria"/>
          <w:i/>
          <w:iCs/>
          <w:sz w:val="18"/>
          <w:szCs w:val="18"/>
        </w:rPr>
        <w:t>Khusus</w:t>
      </w:r>
      <w:proofErr w:type="spellEnd"/>
      <w:r w:rsidRPr="006E68E3">
        <w:rPr>
          <w:rFonts w:ascii="Cambria" w:hAnsi="Cambria"/>
          <w:i/>
          <w:iCs/>
          <w:sz w:val="18"/>
          <w:szCs w:val="18"/>
        </w:rPr>
        <w:t xml:space="preserve"> Hak Cipta Lagu, </w:t>
      </w:r>
      <w:proofErr w:type="spellStart"/>
      <w:r w:rsidRPr="006E68E3">
        <w:rPr>
          <w:rFonts w:ascii="Cambria" w:hAnsi="Cambria"/>
          <w:i/>
          <w:iCs/>
          <w:sz w:val="18"/>
          <w:szCs w:val="18"/>
        </w:rPr>
        <w:t>Neighbouring</w:t>
      </w:r>
      <w:proofErr w:type="spellEnd"/>
      <w:r w:rsidRPr="006E68E3">
        <w:rPr>
          <w:rFonts w:ascii="Cambria" w:hAnsi="Cambria"/>
          <w:i/>
          <w:iCs/>
          <w:sz w:val="18"/>
          <w:szCs w:val="18"/>
        </w:rPr>
        <w:t xml:space="preserve"> Rights, dan Collecting Society</w:t>
      </w:r>
      <w:r w:rsidRPr="006E68E3">
        <w:rPr>
          <w:rFonts w:ascii="Cambria" w:hAnsi="Cambria"/>
          <w:sz w:val="18"/>
          <w:szCs w:val="18"/>
        </w:rPr>
        <w:t xml:space="preserve"> (Bandung: Alumni, 2008), 217–20.</w:t>
      </w:r>
    </w:p>
  </w:footnote>
  <w:footnote w:id="29">
    <w:p w14:paraId="4529BCCA" w14:textId="77777777" w:rsidR="006E68E3" w:rsidRPr="006E68E3" w:rsidRDefault="006E68E3" w:rsidP="006E68E3">
      <w:pPr>
        <w:spacing w:after="0" w:line="240" w:lineRule="auto"/>
        <w:jc w:val="both"/>
        <w:rPr>
          <w:rFonts w:ascii="Cambria" w:hAnsi="Cambria"/>
          <w:sz w:val="18"/>
          <w:szCs w:val="18"/>
        </w:rPr>
      </w:pPr>
      <w:r w:rsidRPr="006E68E3">
        <w:rPr>
          <w:rStyle w:val="FootnoteReference"/>
          <w:rFonts w:ascii="Cambria" w:hAnsi="Cambria"/>
          <w:sz w:val="18"/>
          <w:szCs w:val="18"/>
        </w:rPr>
        <w:footnoteRef/>
      </w:r>
      <w:r w:rsidRPr="006E68E3">
        <w:rPr>
          <w:rFonts w:ascii="Cambria" w:hAnsi="Cambria"/>
          <w:sz w:val="18"/>
          <w:szCs w:val="18"/>
        </w:rPr>
        <w:t xml:space="preserve">Kompas.com, "Tarif Royalti Musik untuk Kafe dan </w:t>
      </w:r>
      <w:proofErr w:type="spellStart"/>
      <w:r w:rsidRPr="006E68E3">
        <w:rPr>
          <w:rFonts w:ascii="Cambria" w:hAnsi="Cambria"/>
          <w:sz w:val="18"/>
          <w:szCs w:val="18"/>
        </w:rPr>
        <w:t>Restoran</w:t>
      </w:r>
      <w:proofErr w:type="spellEnd"/>
      <w:r w:rsidRPr="006E68E3">
        <w:rPr>
          <w:rFonts w:ascii="Cambria" w:hAnsi="Cambria"/>
          <w:sz w:val="18"/>
          <w:szCs w:val="18"/>
        </w:rPr>
        <w:t xml:space="preserve">: </w:t>
      </w:r>
      <w:proofErr w:type="spellStart"/>
      <w:r w:rsidRPr="006E68E3">
        <w:rPr>
          <w:rFonts w:ascii="Cambria" w:hAnsi="Cambria"/>
          <w:sz w:val="18"/>
          <w:szCs w:val="18"/>
        </w:rPr>
        <w:t>Begini</w:t>
      </w:r>
      <w:proofErr w:type="spellEnd"/>
      <w:r w:rsidRPr="006E68E3">
        <w:rPr>
          <w:rFonts w:ascii="Cambria" w:hAnsi="Cambria"/>
          <w:sz w:val="18"/>
          <w:szCs w:val="18"/>
        </w:rPr>
        <w:t xml:space="preserve"> Cara </w:t>
      </w:r>
      <w:proofErr w:type="spellStart"/>
      <w:r w:rsidRPr="006E68E3">
        <w:rPr>
          <w:rFonts w:ascii="Cambria" w:hAnsi="Cambria"/>
          <w:sz w:val="18"/>
          <w:szCs w:val="18"/>
        </w:rPr>
        <w:t>Hitungnya</w:t>
      </w:r>
      <w:proofErr w:type="spellEnd"/>
      <w:r w:rsidRPr="006E68E3">
        <w:rPr>
          <w:rFonts w:ascii="Cambria" w:hAnsi="Cambria"/>
          <w:sz w:val="18"/>
          <w:szCs w:val="18"/>
        </w:rPr>
        <w:t>," money.kompas.com, 10 August 2025, https://money.kompas.com/read/2025/08/10/102647926/tarif-royalti-musik-untuk-kafe-dan-restoran-begini-cara-hitungnya.</w:t>
      </w:r>
    </w:p>
  </w:footnote>
  <w:footnote w:id="30">
    <w:p w14:paraId="5BFD3216" w14:textId="77777777" w:rsidR="006E68E3" w:rsidRDefault="006E68E3" w:rsidP="006E68E3">
      <w:pPr>
        <w:spacing w:line="240" w:lineRule="auto"/>
        <w:jc w:val="both"/>
        <w:rPr>
          <w:rFonts w:ascii="Cambria" w:hAnsi="Cambria" w:cs="Cambria"/>
          <w:lang w:val="en-AU" w:eastAsia="en-AU"/>
        </w:rPr>
      </w:pPr>
      <w:r w:rsidRPr="006E68E3">
        <w:rPr>
          <w:rStyle w:val="FootnoteReference"/>
          <w:rFonts w:ascii="Cambria" w:hAnsi="Cambria"/>
          <w:sz w:val="18"/>
          <w:szCs w:val="18"/>
        </w:rPr>
        <w:footnoteRef/>
      </w:r>
      <w:r w:rsidRPr="006E68E3">
        <w:rPr>
          <w:rFonts w:ascii="Cambria" w:hAnsi="Cambria"/>
          <w:sz w:val="18"/>
          <w:szCs w:val="18"/>
        </w:rPr>
        <w:t xml:space="preserve">Minister of Law and Human Rights of the Republic of Indonesia, </w:t>
      </w:r>
      <w:r w:rsidRPr="006E68E3">
        <w:rPr>
          <w:rFonts w:ascii="Cambria" w:hAnsi="Cambria"/>
          <w:i/>
          <w:iCs/>
          <w:sz w:val="18"/>
          <w:szCs w:val="18"/>
        </w:rPr>
        <w:t>Decree Number HKI.2.OT.03.01-02 of 2016 on the Ratification of Royalty Tariffs for Users Making Commercial Use of Works and/or Related Rights Products of Music and Songs</w:t>
      </w:r>
      <w:r w:rsidRPr="006E68E3">
        <w:rPr>
          <w:rFonts w:ascii="Cambria" w:hAnsi="Cambria"/>
          <w:sz w:val="18"/>
          <w:szCs w:val="18"/>
        </w:rPr>
        <w:t>, ratifying LMKN Plenary Decision Number 20160512RKBD/LMKN-Pleno/Tarif Royalti/2016, Article 1 paragraph (4).</w:t>
      </w:r>
    </w:p>
  </w:footnote>
  <w:footnote w:id="31">
    <w:p w14:paraId="1B77638A" w14:textId="77777777" w:rsidR="006E68E3" w:rsidRDefault="006E68E3" w:rsidP="006E68E3">
      <w:pPr>
        <w:spacing w:line="240" w:lineRule="auto"/>
        <w:jc w:val="both"/>
      </w:pPr>
      <w:r w:rsidRPr="006E68E3">
        <w:rPr>
          <w:rStyle w:val="FootnoteReference"/>
          <w:rFonts w:ascii="Cambria" w:hAnsi="Cambria"/>
          <w:sz w:val="18"/>
          <w:szCs w:val="18"/>
        </w:rPr>
        <w:footnoteRef/>
      </w:r>
      <w:r w:rsidRPr="006E68E3">
        <w:rPr>
          <w:rFonts w:ascii="Cambria" w:hAnsi="Cambria"/>
          <w:sz w:val="18"/>
          <w:szCs w:val="18"/>
        </w:rPr>
        <w:t>Kementerian Hukum Republik Indonesia, "</w:t>
      </w:r>
      <w:proofErr w:type="spellStart"/>
      <w:r w:rsidRPr="006E68E3">
        <w:rPr>
          <w:rFonts w:ascii="Cambria" w:hAnsi="Cambria"/>
          <w:sz w:val="18"/>
          <w:szCs w:val="18"/>
        </w:rPr>
        <w:t>Pelantikan</w:t>
      </w:r>
      <w:proofErr w:type="spellEnd"/>
      <w:r w:rsidRPr="006E68E3">
        <w:rPr>
          <w:rFonts w:ascii="Cambria" w:hAnsi="Cambria"/>
          <w:sz w:val="18"/>
          <w:szCs w:val="18"/>
        </w:rPr>
        <w:t xml:space="preserve"> LMKN: Royalti Aman, Kreator Nyaman," dgip.go.id, 8 August 2025, https://www.dgip.go.id/artikel/detail-artikel-berita/pelantikan-lmkn-royalti-aman-kreator-nyaman</w:t>
      </w:r>
      <w:r>
        <w:rPr>
          <w:sz w:val="18"/>
          <w:szCs w:val="18"/>
        </w:rPr>
        <w:t>.</w:t>
      </w:r>
    </w:p>
  </w:footnote>
  <w:footnote w:id="32">
    <w:p w14:paraId="4E326E0A" w14:textId="77777777" w:rsidR="006E68E3" w:rsidRDefault="006E68E3" w:rsidP="006E68E3"/>
    <w:p w14:paraId="7FB4455A" w14:textId="77777777" w:rsidR="006E68E3" w:rsidRDefault="006E68E3" w:rsidP="006E68E3"/>
  </w:footnote>
  <w:footnote w:id="33">
    <w:p w14:paraId="3A3870B7" w14:textId="3ADF1731" w:rsidR="006E68E3" w:rsidRDefault="006E68E3" w:rsidP="006E68E3"/>
  </w:footnote>
  <w:footnote w:id="34">
    <w:p w14:paraId="6197B68F" w14:textId="77777777" w:rsidR="006E68E3" w:rsidRDefault="006E68E3" w:rsidP="006E68E3"/>
  </w:footnote>
  <w:footnote w:id="35">
    <w:p w14:paraId="14436BDC" w14:textId="77777777" w:rsidR="006E68E3" w:rsidRPr="006E68E3" w:rsidRDefault="006E68E3" w:rsidP="006E68E3">
      <w:pPr>
        <w:spacing w:line="240" w:lineRule="auto"/>
        <w:jc w:val="both"/>
        <w:rPr>
          <w:rFonts w:ascii="Cambria" w:hAnsi="Cambria"/>
          <w:sz w:val="18"/>
          <w:szCs w:val="18"/>
        </w:rPr>
      </w:pPr>
      <w:r w:rsidRPr="006E68E3">
        <w:rPr>
          <w:rStyle w:val="FootnoteReference"/>
          <w:rFonts w:ascii="Cambria" w:hAnsi="Cambria"/>
          <w:sz w:val="18"/>
          <w:szCs w:val="18"/>
        </w:rPr>
        <w:footnoteRef/>
      </w:r>
      <w:proofErr w:type="spellStart"/>
      <w:r w:rsidRPr="006E68E3">
        <w:rPr>
          <w:rFonts w:ascii="Cambria" w:hAnsi="Cambria"/>
          <w:sz w:val="18"/>
          <w:szCs w:val="18"/>
        </w:rPr>
        <w:t>Mahkamah</w:t>
      </w:r>
      <w:proofErr w:type="spellEnd"/>
      <w:r w:rsidRPr="006E68E3">
        <w:rPr>
          <w:rFonts w:ascii="Cambria" w:hAnsi="Cambria"/>
          <w:sz w:val="18"/>
          <w:szCs w:val="18"/>
        </w:rPr>
        <w:t xml:space="preserve"> </w:t>
      </w:r>
      <w:proofErr w:type="spellStart"/>
      <w:r w:rsidRPr="006E68E3">
        <w:rPr>
          <w:rFonts w:ascii="Cambria" w:hAnsi="Cambria"/>
          <w:sz w:val="18"/>
          <w:szCs w:val="18"/>
        </w:rPr>
        <w:t>Konstitusi</w:t>
      </w:r>
      <w:proofErr w:type="spellEnd"/>
      <w:r w:rsidRPr="006E68E3">
        <w:rPr>
          <w:rFonts w:ascii="Cambria" w:hAnsi="Cambria"/>
          <w:sz w:val="18"/>
          <w:szCs w:val="18"/>
        </w:rPr>
        <w:t xml:space="preserve"> RI, "UU Hak Cipta, </w:t>
      </w:r>
      <w:proofErr w:type="spellStart"/>
      <w:r w:rsidRPr="006E68E3">
        <w:rPr>
          <w:rFonts w:ascii="Cambria" w:hAnsi="Cambria"/>
          <w:sz w:val="18"/>
          <w:szCs w:val="18"/>
        </w:rPr>
        <w:t>Tuntutan</w:t>
      </w:r>
      <w:proofErr w:type="spellEnd"/>
      <w:r w:rsidRPr="006E68E3">
        <w:rPr>
          <w:rFonts w:ascii="Cambria" w:hAnsi="Cambria"/>
          <w:sz w:val="18"/>
          <w:szCs w:val="18"/>
        </w:rPr>
        <w:t xml:space="preserve"> </w:t>
      </w:r>
      <w:proofErr w:type="spellStart"/>
      <w:r w:rsidRPr="006E68E3">
        <w:rPr>
          <w:rFonts w:ascii="Cambria" w:hAnsi="Cambria"/>
          <w:sz w:val="18"/>
          <w:szCs w:val="18"/>
        </w:rPr>
        <w:t>Pidana</w:t>
      </w:r>
      <w:proofErr w:type="spellEnd"/>
      <w:r w:rsidRPr="006E68E3">
        <w:rPr>
          <w:rFonts w:ascii="Cambria" w:hAnsi="Cambria"/>
          <w:sz w:val="18"/>
          <w:szCs w:val="18"/>
        </w:rPr>
        <w:t xml:space="preserve"> Dapat </w:t>
      </w:r>
      <w:proofErr w:type="spellStart"/>
      <w:r w:rsidRPr="006E68E3">
        <w:rPr>
          <w:rFonts w:ascii="Cambria" w:hAnsi="Cambria"/>
          <w:sz w:val="18"/>
          <w:szCs w:val="18"/>
        </w:rPr>
        <w:t>Ditempuh</w:t>
      </w:r>
      <w:proofErr w:type="spellEnd"/>
      <w:r w:rsidRPr="006E68E3">
        <w:rPr>
          <w:rFonts w:ascii="Cambria" w:hAnsi="Cambria"/>
          <w:sz w:val="18"/>
          <w:szCs w:val="18"/>
        </w:rPr>
        <w:t xml:space="preserve"> Jika Upaya </w:t>
      </w:r>
      <w:proofErr w:type="spellStart"/>
      <w:r w:rsidRPr="006E68E3">
        <w:rPr>
          <w:rFonts w:ascii="Cambria" w:hAnsi="Cambria"/>
          <w:sz w:val="18"/>
          <w:szCs w:val="18"/>
        </w:rPr>
        <w:t>Perdata</w:t>
      </w:r>
      <w:proofErr w:type="spellEnd"/>
      <w:r w:rsidRPr="006E68E3">
        <w:rPr>
          <w:rFonts w:ascii="Cambria" w:hAnsi="Cambria"/>
          <w:sz w:val="18"/>
          <w:szCs w:val="18"/>
        </w:rPr>
        <w:t xml:space="preserve"> Gagal," mkri.id, 30 June 2025, https://www.mkri.id/berita/uu-hak-cipta,-tuntutan-pidana-dapat-ditempuh-jika-upaya-perdata-gagal-23432.</w:t>
      </w:r>
    </w:p>
  </w:footnote>
  <w:footnote w:id="36">
    <w:p w14:paraId="48E31B9E" w14:textId="77777777" w:rsidR="006E68E3" w:rsidRDefault="006E68E3" w:rsidP="006E68E3"/>
  </w:footnote>
  <w:footnote w:id="37">
    <w:p w14:paraId="4BA7691E" w14:textId="77777777" w:rsidR="006E68E3" w:rsidRDefault="006E68E3" w:rsidP="006E68E3">
      <w:pPr>
        <w:spacing w:line="240" w:lineRule="auto"/>
        <w:jc w:val="both"/>
      </w:pPr>
      <w:r>
        <w:rPr>
          <w:rStyle w:val="FootnoteReference"/>
        </w:rPr>
        <w:footnoteRef/>
      </w:r>
      <w:proofErr w:type="spellStart"/>
      <w:r>
        <w:rPr>
          <w:sz w:val="18"/>
          <w:szCs w:val="18"/>
        </w:rPr>
        <w:t>Mahkamah</w:t>
      </w:r>
      <w:proofErr w:type="spellEnd"/>
      <w:r>
        <w:rPr>
          <w:sz w:val="18"/>
          <w:szCs w:val="18"/>
        </w:rPr>
        <w:t xml:space="preserve"> </w:t>
      </w:r>
      <w:proofErr w:type="spellStart"/>
      <w:r>
        <w:rPr>
          <w:sz w:val="18"/>
          <w:szCs w:val="18"/>
        </w:rPr>
        <w:t>Konstitusi</w:t>
      </w:r>
      <w:proofErr w:type="spellEnd"/>
      <w:r>
        <w:rPr>
          <w:sz w:val="18"/>
          <w:szCs w:val="18"/>
        </w:rPr>
        <w:t xml:space="preserve"> RI, "Parameter </w:t>
      </w:r>
      <w:proofErr w:type="spellStart"/>
      <w:r>
        <w:rPr>
          <w:sz w:val="18"/>
          <w:szCs w:val="18"/>
        </w:rPr>
        <w:t>Penentuan</w:t>
      </w:r>
      <w:proofErr w:type="spellEnd"/>
      <w:r>
        <w:rPr>
          <w:sz w:val="18"/>
          <w:szCs w:val="18"/>
        </w:rPr>
        <w:t xml:space="preserve"> Royalti </w:t>
      </w:r>
      <w:proofErr w:type="spellStart"/>
      <w:r>
        <w:rPr>
          <w:sz w:val="18"/>
          <w:szCs w:val="18"/>
        </w:rPr>
        <w:t>Diatur</w:t>
      </w:r>
      <w:proofErr w:type="spellEnd"/>
      <w:r>
        <w:rPr>
          <w:sz w:val="18"/>
          <w:szCs w:val="18"/>
        </w:rPr>
        <w:t xml:space="preserve"> dalam </w:t>
      </w:r>
      <w:proofErr w:type="spellStart"/>
      <w:r>
        <w:rPr>
          <w:sz w:val="18"/>
          <w:szCs w:val="18"/>
        </w:rPr>
        <w:t>Peraturan</w:t>
      </w:r>
      <w:proofErr w:type="spellEnd"/>
      <w:r>
        <w:rPr>
          <w:sz w:val="18"/>
          <w:szCs w:val="18"/>
        </w:rPr>
        <w:t xml:space="preserve"> </w:t>
      </w:r>
      <w:proofErr w:type="spellStart"/>
      <w:r>
        <w:rPr>
          <w:sz w:val="18"/>
          <w:szCs w:val="18"/>
        </w:rPr>
        <w:t>Perundang-Undangan</w:t>
      </w:r>
      <w:proofErr w:type="spellEnd"/>
      <w:r>
        <w:rPr>
          <w:sz w:val="18"/>
          <w:szCs w:val="18"/>
        </w:rPr>
        <w:t>," mkri.id, 17 December 2025, https://www.mkri.id/berita/parameter-penentuan-royalti-diatur-dalam-peraturan-perundang-undangan-24293.</w:t>
      </w:r>
    </w:p>
  </w:footnote>
  <w:footnote w:id="38">
    <w:p w14:paraId="7078933D" w14:textId="77777777" w:rsidR="006E68E3" w:rsidRPr="006E68E3" w:rsidRDefault="006E68E3" w:rsidP="006E68E3">
      <w:pPr>
        <w:spacing w:line="240" w:lineRule="auto"/>
        <w:jc w:val="both"/>
        <w:rPr>
          <w:rFonts w:ascii="Cambria" w:hAnsi="Cambria"/>
        </w:rPr>
      </w:pPr>
      <w:r w:rsidRPr="006E68E3">
        <w:rPr>
          <w:rStyle w:val="FootnoteReference"/>
          <w:rFonts w:ascii="Cambria" w:hAnsi="Cambria"/>
        </w:rPr>
        <w:footnoteRef/>
      </w:r>
      <w:r w:rsidRPr="006E68E3">
        <w:rPr>
          <w:rFonts w:ascii="Cambria" w:hAnsi="Cambria"/>
          <w:sz w:val="18"/>
          <w:szCs w:val="18"/>
        </w:rPr>
        <w:t xml:space="preserve">Constitutional Court of the Republic of Indonesia, </w:t>
      </w:r>
      <w:r w:rsidRPr="006E68E3">
        <w:rPr>
          <w:rFonts w:ascii="Cambria" w:hAnsi="Cambria"/>
          <w:i/>
          <w:iCs/>
          <w:sz w:val="18"/>
          <w:szCs w:val="18"/>
        </w:rPr>
        <w:t>Decision Number 37/PUU-XXIII/2025</w:t>
      </w:r>
      <w:r w:rsidRPr="006E68E3">
        <w:rPr>
          <w:rFonts w:ascii="Cambria" w:hAnsi="Cambria"/>
          <w:sz w:val="18"/>
          <w:szCs w:val="18"/>
        </w:rPr>
        <w:t>, pronounced 17 December 2025.</w:t>
      </w:r>
    </w:p>
  </w:footnote>
  <w:footnote w:id="39">
    <w:p w14:paraId="3B3785F7" w14:textId="77777777" w:rsidR="006E68E3" w:rsidRPr="006E68E3" w:rsidRDefault="006E68E3" w:rsidP="006E68E3">
      <w:pPr>
        <w:rPr>
          <w:rFonts w:ascii="Cambria" w:hAnsi="Cambria"/>
        </w:rPr>
      </w:pPr>
    </w:p>
  </w:footnote>
  <w:footnote w:id="40">
    <w:p w14:paraId="5C1B225B" w14:textId="77777777" w:rsidR="006E68E3" w:rsidRDefault="006E68E3" w:rsidP="006E68E3">
      <w:pPr>
        <w:spacing w:line="240" w:lineRule="auto"/>
        <w:jc w:val="both"/>
      </w:pPr>
      <w:r w:rsidRPr="006E68E3">
        <w:rPr>
          <w:rStyle w:val="FootnoteReference"/>
          <w:rFonts w:ascii="Cambria" w:hAnsi="Cambria"/>
        </w:rPr>
        <w:footnoteRef/>
      </w:r>
      <w:r w:rsidRPr="006E68E3">
        <w:rPr>
          <w:rFonts w:ascii="Cambria" w:hAnsi="Cambria"/>
          <w:sz w:val="18"/>
          <w:szCs w:val="18"/>
        </w:rPr>
        <w:t xml:space="preserve">Chrisna Bagus Edhita Praja, Budi Agus </w:t>
      </w:r>
      <w:proofErr w:type="spellStart"/>
      <w:r w:rsidRPr="006E68E3">
        <w:rPr>
          <w:rFonts w:ascii="Cambria" w:hAnsi="Cambria"/>
          <w:sz w:val="18"/>
          <w:szCs w:val="18"/>
        </w:rPr>
        <w:t>Riswandi</w:t>
      </w:r>
      <w:proofErr w:type="spellEnd"/>
      <w:r w:rsidRPr="006E68E3">
        <w:rPr>
          <w:rFonts w:ascii="Cambria" w:hAnsi="Cambria"/>
          <w:sz w:val="18"/>
          <w:szCs w:val="18"/>
        </w:rPr>
        <w:t xml:space="preserve">, and </w:t>
      </w:r>
      <w:proofErr w:type="spellStart"/>
      <w:r w:rsidRPr="006E68E3">
        <w:rPr>
          <w:rFonts w:ascii="Cambria" w:hAnsi="Cambria"/>
          <w:sz w:val="18"/>
          <w:szCs w:val="18"/>
        </w:rPr>
        <w:t>Khudzaifah</w:t>
      </w:r>
      <w:proofErr w:type="spellEnd"/>
      <w:r w:rsidRPr="006E68E3">
        <w:rPr>
          <w:rFonts w:ascii="Cambria" w:hAnsi="Cambria"/>
          <w:sz w:val="18"/>
          <w:szCs w:val="18"/>
        </w:rPr>
        <w:t xml:space="preserve"> Dimyati, "</w:t>
      </w:r>
      <w:proofErr w:type="spellStart"/>
      <w:r w:rsidRPr="006E68E3">
        <w:rPr>
          <w:rFonts w:ascii="Cambria" w:hAnsi="Cambria"/>
          <w:sz w:val="18"/>
          <w:szCs w:val="18"/>
        </w:rPr>
        <w:t>Mediasi</w:t>
      </w:r>
      <w:proofErr w:type="spellEnd"/>
      <w:r w:rsidRPr="006E68E3">
        <w:rPr>
          <w:rFonts w:ascii="Cambria" w:hAnsi="Cambria"/>
          <w:sz w:val="18"/>
          <w:szCs w:val="18"/>
        </w:rPr>
        <w:t xml:space="preserve"> </w:t>
      </w:r>
      <w:proofErr w:type="spellStart"/>
      <w:r w:rsidRPr="006E68E3">
        <w:rPr>
          <w:rFonts w:ascii="Cambria" w:hAnsi="Cambria"/>
          <w:sz w:val="18"/>
          <w:szCs w:val="18"/>
        </w:rPr>
        <w:t>sebagai</w:t>
      </w:r>
      <w:proofErr w:type="spellEnd"/>
      <w:r w:rsidRPr="006E68E3">
        <w:rPr>
          <w:rFonts w:ascii="Cambria" w:hAnsi="Cambria"/>
          <w:sz w:val="18"/>
          <w:szCs w:val="18"/>
        </w:rPr>
        <w:t xml:space="preserve"> </w:t>
      </w:r>
      <w:proofErr w:type="spellStart"/>
      <w:r w:rsidRPr="006E68E3">
        <w:rPr>
          <w:rFonts w:ascii="Cambria" w:hAnsi="Cambria"/>
          <w:sz w:val="18"/>
          <w:szCs w:val="18"/>
        </w:rPr>
        <w:t>Alternatif</w:t>
      </w:r>
      <w:proofErr w:type="spellEnd"/>
      <w:r w:rsidRPr="006E68E3">
        <w:rPr>
          <w:rFonts w:ascii="Cambria" w:hAnsi="Cambria"/>
          <w:sz w:val="18"/>
          <w:szCs w:val="18"/>
        </w:rPr>
        <w:t xml:space="preserve"> </w:t>
      </w:r>
      <w:proofErr w:type="spellStart"/>
      <w:r w:rsidRPr="006E68E3">
        <w:rPr>
          <w:rFonts w:ascii="Cambria" w:hAnsi="Cambria"/>
          <w:sz w:val="18"/>
          <w:szCs w:val="18"/>
        </w:rPr>
        <w:t>Penyelesaian</w:t>
      </w:r>
      <w:proofErr w:type="spellEnd"/>
      <w:r w:rsidRPr="006E68E3">
        <w:rPr>
          <w:rFonts w:ascii="Cambria" w:hAnsi="Cambria"/>
          <w:sz w:val="18"/>
          <w:szCs w:val="18"/>
        </w:rPr>
        <w:t xml:space="preserve"> </w:t>
      </w:r>
      <w:proofErr w:type="spellStart"/>
      <w:r w:rsidRPr="006E68E3">
        <w:rPr>
          <w:rFonts w:ascii="Cambria" w:hAnsi="Cambria"/>
          <w:sz w:val="18"/>
          <w:szCs w:val="18"/>
        </w:rPr>
        <w:t>Sengketa</w:t>
      </w:r>
      <w:proofErr w:type="spellEnd"/>
      <w:r w:rsidRPr="006E68E3">
        <w:rPr>
          <w:rFonts w:ascii="Cambria" w:hAnsi="Cambria"/>
          <w:sz w:val="18"/>
          <w:szCs w:val="18"/>
        </w:rPr>
        <w:t xml:space="preserve"> Hak Cipta Buku Elektronik </w:t>
      </w:r>
      <w:proofErr w:type="spellStart"/>
      <w:r w:rsidRPr="006E68E3">
        <w:rPr>
          <w:rFonts w:ascii="Cambria" w:hAnsi="Cambria"/>
          <w:sz w:val="18"/>
          <w:szCs w:val="18"/>
        </w:rPr>
        <w:t>Kekayaan</w:t>
      </w:r>
      <w:proofErr w:type="spellEnd"/>
      <w:r w:rsidRPr="006E68E3">
        <w:rPr>
          <w:rFonts w:ascii="Cambria" w:hAnsi="Cambria"/>
          <w:sz w:val="18"/>
          <w:szCs w:val="18"/>
        </w:rPr>
        <w:t xml:space="preserve"> </w:t>
      </w:r>
      <w:proofErr w:type="spellStart"/>
      <w:r w:rsidRPr="006E68E3">
        <w:rPr>
          <w:rFonts w:ascii="Cambria" w:hAnsi="Cambria"/>
          <w:sz w:val="18"/>
          <w:szCs w:val="18"/>
        </w:rPr>
        <w:t>Intelektual</w:t>
      </w:r>
      <w:proofErr w:type="spellEnd"/>
      <w:r w:rsidRPr="006E68E3">
        <w:rPr>
          <w:rFonts w:ascii="Cambria" w:hAnsi="Cambria"/>
          <w:sz w:val="18"/>
          <w:szCs w:val="18"/>
        </w:rPr>
        <w:t xml:space="preserve"> di Indonesia," </w:t>
      </w:r>
      <w:r w:rsidRPr="006E68E3">
        <w:rPr>
          <w:rFonts w:ascii="Cambria" w:hAnsi="Cambria"/>
          <w:i/>
          <w:iCs/>
          <w:sz w:val="18"/>
          <w:szCs w:val="18"/>
        </w:rPr>
        <w:t>Jurnal Hukum</w:t>
      </w:r>
      <w:r w:rsidRPr="006E68E3">
        <w:rPr>
          <w:rFonts w:ascii="Cambria" w:hAnsi="Cambria"/>
          <w:sz w:val="18"/>
          <w:szCs w:val="18"/>
        </w:rPr>
        <w:t xml:space="preserve"> 6, no. 1 (2023): 141–57.</w:t>
      </w:r>
    </w:p>
  </w:footnote>
  <w:footnote w:id="41">
    <w:p w14:paraId="1801DDCB" w14:textId="77777777" w:rsidR="006E68E3" w:rsidRPr="006E68E3" w:rsidRDefault="006E68E3" w:rsidP="006E68E3">
      <w:pPr>
        <w:spacing w:after="0" w:line="240" w:lineRule="auto"/>
        <w:jc w:val="both"/>
        <w:rPr>
          <w:rFonts w:ascii="Cambria" w:hAnsi="Cambria" w:cstheme="majorHAnsi"/>
          <w:sz w:val="18"/>
          <w:szCs w:val="18"/>
        </w:rPr>
      </w:pPr>
      <w:r w:rsidRPr="006E68E3">
        <w:rPr>
          <w:rStyle w:val="FootnoteReference"/>
          <w:rFonts w:ascii="Cambria" w:hAnsi="Cambria" w:cstheme="majorHAnsi"/>
          <w:sz w:val="18"/>
          <w:szCs w:val="18"/>
        </w:rPr>
        <w:footnoteRef/>
      </w:r>
      <w:r w:rsidRPr="006E68E3">
        <w:rPr>
          <w:rFonts w:ascii="Cambria" w:hAnsi="Cambria" w:cstheme="majorHAnsi"/>
          <w:sz w:val="18"/>
          <w:szCs w:val="18"/>
        </w:rPr>
        <w:t>Kementerian Hukum RI, "</w:t>
      </w:r>
      <w:proofErr w:type="spellStart"/>
      <w:r w:rsidRPr="006E68E3">
        <w:rPr>
          <w:rFonts w:ascii="Cambria" w:hAnsi="Cambria" w:cstheme="majorHAnsi"/>
          <w:sz w:val="18"/>
          <w:szCs w:val="18"/>
        </w:rPr>
        <w:t>Pemerintah</w:t>
      </w:r>
      <w:proofErr w:type="spellEnd"/>
      <w:r w:rsidRPr="006E68E3">
        <w:rPr>
          <w:rFonts w:ascii="Cambria" w:hAnsi="Cambria" w:cstheme="majorHAnsi"/>
          <w:sz w:val="18"/>
          <w:szCs w:val="18"/>
        </w:rPr>
        <w:t xml:space="preserve"> </w:t>
      </w:r>
      <w:proofErr w:type="spellStart"/>
      <w:r w:rsidRPr="006E68E3">
        <w:rPr>
          <w:rFonts w:ascii="Cambria" w:hAnsi="Cambria" w:cstheme="majorHAnsi"/>
          <w:sz w:val="18"/>
          <w:szCs w:val="18"/>
        </w:rPr>
        <w:t>Terbitkan</w:t>
      </w:r>
      <w:proofErr w:type="spellEnd"/>
      <w:r w:rsidRPr="006E68E3">
        <w:rPr>
          <w:rFonts w:ascii="Cambria" w:hAnsi="Cambria" w:cstheme="majorHAnsi"/>
          <w:sz w:val="18"/>
          <w:szCs w:val="18"/>
        </w:rPr>
        <w:t xml:space="preserve"> Surat </w:t>
      </w:r>
      <w:proofErr w:type="spellStart"/>
      <w:r w:rsidRPr="006E68E3">
        <w:rPr>
          <w:rFonts w:ascii="Cambria" w:hAnsi="Cambria" w:cstheme="majorHAnsi"/>
          <w:sz w:val="18"/>
          <w:szCs w:val="18"/>
        </w:rPr>
        <w:t>Edaran</w:t>
      </w:r>
      <w:proofErr w:type="spellEnd"/>
      <w:r w:rsidRPr="006E68E3">
        <w:rPr>
          <w:rFonts w:ascii="Cambria" w:hAnsi="Cambria" w:cstheme="majorHAnsi"/>
          <w:sz w:val="18"/>
          <w:szCs w:val="18"/>
        </w:rPr>
        <w:t xml:space="preserve"> </w:t>
      </w:r>
      <w:proofErr w:type="spellStart"/>
      <w:r w:rsidRPr="006E68E3">
        <w:rPr>
          <w:rFonts w:ascii="Cambria" w:hAnsi="Cambria" w:cstheme="majorHAnsi"/>
          <w:sz w:val="18"/>
          <w:szCs w:val="18"/>
        </w:rPr>
        <w:t>Kewajiban</w:t>
      </w:r>
      <w:proofErr w:type="spellEnd"/>
      <w:r w:rsidRPr="006E68E3">
        <w:rPr>
          <w:rFonts w:ascii="Cambria" w:hAnsi="Cambria" w:cstheme="majorHAnsi"/>
          <w:sz w:val="18"/>
          <w:szCs w:val="18"/>
        </w:rPr>
        <w:t xml:space="preserve"> </w:t>
      </w:r>
      <w:proofErr w:type="spellStart"/>
      <w:r w:rsidRPr="006E68E3">
        <w:rPr>
          <w:rFonts w:ascii="Cambria" w:hAnsi="Cambria" w:cstheme="majorHAnsi"/>
          <w:sz w:val="18"/>
          <w:szCs w:val="18"/>
        </w:rPr>
        <w:t>Pembayaran</w:t>
      </w:r>
      <w:proofErr w:type="spellEnd"/>
      <w:r w:rsidRPr="006E68E3">
        <w:rPr>
          <w:rFonts w:ascii="Cambria" w:hAnsi="Cambria" w:cstheme="majorHAnsi"/>
          <w:sz w:val="18"/>
          <w:szCs w:val="18"/>
        </w:rPr>
        <w:t xml:space="preserve"> Royalti Lagu dan/Musik di Ruang Publik </w:t>
      </w:r>
      <w:proofErr w:type="spellStart"/>
      <w:r w:rsidRPr="006E68E3">
        <w:rPr>
          <w:rFonts w:ascii="Cambria" w:hAnsi="Cambria" w:cstheme="majorHAnsi"/>
          <w:sz w:val="18"/>
          <w:szCs w:val="18"/>
        </w:rPr>
        <w:t>Komersial</w:t>
      </w:r>
      <w:proofErr w:type="spellEnd"/>
      <w:r w:rsidRPr="006E68E3">
        <w:rPr>
          <w:rFonts w:ascii="Cambria" w:hAnsi="Cambria" w:cstheme="majorHAnsi"/>
          <w:sz w:val="18"/>
          <w:szCs w:val="18"/>
        </w:rPr>
        <w:t>," djpp.kemenkum.go.id, 30 December 2025.</w:t>
      </w:r>
    </w:p>
  </w:footnote>
  <w:footnote w:id="42">
    <w:p w14:paraId="1AA67B55" w14:textId="77777777" w:rsidR="006E68E3" w:rsidRDefault="006E68E3" w:rsidP="006E68E3">
      <w:pPr>
        <w:spacing w:after="0" w:line="240" w:lineRule="auto"/>
        <w:jc w:val="both"/>
      </w:pPr>
      <w:r w:rsidRPr="006E68E3">
        <w:rPr>
          <w:rStyle w:val="FootnoteReference"/>
          <w:rFonts w:ascii="Cambria" w:hAnsi="Cambria" w:cstheme="majorHAnsi"/>
          <w:sz w:val="18"/>
          <w:szCs w:val="18"/>
        </w:rPr>
        <w:footnoteRef/>
      </w:r>
      <w:r w:rsidRPr="006E68E3">
        <w:rPr>
          <w:rFonts w:ascii="Cambria" w:hAnsi="Cambria" w:cstheme="majorHAnsi"/>
          <w:sz w:val="18"/>
          <w:szCs w:val="18"/>
        </w:rPr>
        <w:t xml:space="preserve">Director General of Intellectual Property, </w:t>
      </w:r>
      <w:r w:rsidRPr="006E68E3">
        <w:rPr>
          <w:rFonts w:ascii="Cambria" w:hAnsi="Cambria" w:cstheme="majorHAnsi"/>
          <w:i/>
          <w:iCs/>
          <w:sz w:val="18"/>
          <w:szCs w:val="18"/>
        </w:rPr>
        <w:t>Circular Letter Number HKI-92.KI.01.04 of 2025 on the Obligation to Pay Song and/or Music Royalties in Commercial Public Spaces</w:t>
      </w:r>
      <w:r w:rsidRPr="006E68E3">
        <w:rPr>
          <w:rFonts w:ascii="Cambria" w:hAnsi="Cambria" w:cstheme="majorHAnsi"/>
          <w:sz w:val="18"/>
          <w:szCs w:val="18"/>
        </w:rPr>
        <w:t xml:space="preserve"> (Jakarta: Ministry of Law, 29 December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E71EA" w14:textId="77777777" w:rsidR="00A90240" w:rsidRDefault="00000000">
    <w:pPr>
      <w:tabs>
        <w:tab w:val="center" w:pos="4680"/>
        <w:tab w:val="right" w:pos="9360"/>
      </w:tabs>
      <w:spacing w:after="0" w:line="240" w:lineRule="auto"/>
      <w:rPr>
        <w:rFonts w:ascii="EB Garamond" w:eastAsia="EB Garamond" w:hAnsi="EB Garamond" w:cs="EB Garamond"/>
        <w:color w:val="000000"/>
        <w:sz w:val="20"/>
        <w:szCs w:val="20"/>
      </w:rPr>
    </w:pPr>
    <w:r>
      <w:rPr>
        <w:rFonts w:ascii="EB Garamond" w:eastAsia="EB Garamond" w:hAnsi="EB Garamond" w:cs="EB Garamond"/>
        <w:noProof/>
        <w:color w:val="000000"/>
        <w:sz w:val="20"/>
        <w:szCs w:val="20"/>
      </w:rPr>
      <mc:AlternateContent>
        <mc:Choice Requires="wps">
          <w:drawing>
            <wp:anchor distT="0" distB="0" distL="114300" distR="114300" simplePos="0" relativeHeight="251662336" behindDoc="0" locked="0" layoutInCell="0" allowOverlap="1" wp14:anchorId="5F7284D3" wp14:editId="475E8B96">
              <wp:simplePos x="0" y="0"/>
              <wp:positionH relativeFrom="margin">
                <wp:align>left</wp:align>
              </wp:positionH>
              <wp:positionV relativeFrom="topMargin">
                <wp:align>center</wp:align>
              </wp:positionV>
              <wp:extent cx="5943600" cy="170815"/>
              <wp:effectExtent l="0" t="0" r="0" b="1905"/>
              <wp:wrapNone/>
              <wp:docPr id="218" name="Kotak Teks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wps:spPr>
                    <wps:txbx>
                      <w:txbxContent>
                        <w:sdt>
                          <w:sdtPr>
                            <w:rPr>
                              <w:rFonts w:ascii="Cambria" w:hAnsi="Cambria"/>
                              <w:color w:val="215B57"/>
                              <w:sz w:val="20"/>
                              <w:szCs w:val="20"/>
                            </w:rPr>
                            <w:alias w:val="Judul"/>
                            <w:id w:val="78679243"/>
                            <w:dataBinding w:prefixMappings="xmlns:ns0='http://schemas.openxmlformats.org/package/2006/metadata/core-properties' xmlns:ns1='http://purl.org/dc/elements/1.1/'" w:xpath="/ns0:coreProperties[1]/ns1:title[1]" w:storeItemID="{6C3C8BC8-F283-45AE-878A-BAB7291924A1}"/>
                            <w:text/>
                          </w:sdtPr>
                          <w:sdtContent>
                            <w:p w14:paraId="47A33751" w14:textId="1859B21F" w:rsidR="00A90240" w:rsidRDefault="00C626FA">
                              <w:pPr>
                                <w:spacing w:after="0" w:line="240" w:lineRule="auto"/>
                                <w:rPr>
                                  <w:rFonts w:ascii="Cambria" w:hAnsi="Cambria"/>
                                  <w:b/>
                                  <w:bCs/>
                                  <w:color w:val="215B57"/>
                                  <w:sz w:val="20"/>
                                  <w:szCs w:val="20"/>
                                </w:rPr>
                              </w:pPr>
                              <w:r w:rsidRPr="005E277B">
                                <w:rPr>
                                  <w:rFonts w:ascii="Cambria" w:hAnsi="Cambria"/>
                                  <w:color w:val="215B57"/>
                                  <w:sz w:val="20"/>
                                  <w:szCs w:val="20"/>
                                </w:rPr>
                                <w:t>Strengthening Legal Protection Against Trademark Counterfeiting on Online Marketplace Platforms in Indonesia Through Regulatory Accountability</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F7284D3" id="_x0000_t202" coordsize="21600,21600" o:spt="202" path="m,l,21600r21600,l21600,xe">
              <v:stroke joinstyle="miter"/>
              <v:path gradientshapeok="t" o:connecttype="rect"/>
            </v:shapetype>
            <v:shape id="Kotak Teks 222" o:spid="_x0000_s1028" type="#_x0000_t202" style="position:absolute;margin-left:0;margin-top:0;width:468pt;height:13.45pt;z-index:25166233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" o:allowincell="f" filled="f" stroked="f">
              <v:textbox style="mso-fit-shape-to-text:t" inset=",0,,0">
                <w:txbxContent>
                  <w:sdt>
                    <w:sdtPr>
                      <w:rPr>
                        <w:rFonts w:ascii="Cambria" w:hAnsi="Cambria"/>
                        <w:color w:val="215B57"/>
                        <w:sz w:val="20"/>
                        <w:szCs w:val="20"/>
                      </w:rPr>
                      <w:alias w:val="Judul"/>
                      <w:id w:val="78679243"/>
                      <w:dataBinding w:prefixMappings="xmlns:ns0='http://schemas.openxmlformats.org/package/2006/metadata/core-properties' xmlns:ns1='http://purl.org/dc/elements/1.1/'" w:xpath="/ns0:coreProperties[1]/ns1:title[1]" w:storeItemID="{6C3C8BC8-F283-45AE-878A-BAB7291924A1}"/>
                      <w:text/>
                    </w:sdtPr>
                    <w:sdtContent>
                      <w:p w14:paraId="47A33751" w14:textId="1859B21F" w:rsidR="00A90240" w:rsidRDefault="00C626FA">
                        <w:pPr>
                          <w:spacing w:after="0" w:line="240" w:lineRule="auto"/>
                          <w:rPr>
                            <w:rFonts w:ascii="Cambria" w:hAnsi="Cambria"/>
                            <w:b/>
                            <w:bCs/>
                            <w:color w:val="215B57"/>
                            <w:sz w:val="20"/>
                            <w:szCs w:val="20"/>
                          </w:rPr>
                        </w:pPr>
                        <w:r w:rsidRPr="005E277B">
                          <w:rPr>
                            <w:rFonts w:ascii="Cambria" w:hAnsi="Cambria"/>
                            <w:color w:val="215B57"/>
                            <w:sz w:val="20"/>
                            <w:szCs w:val="20"/>
                          </w:rPr>
                          <w:t>Strengthening Legal Protection Against Trademark Counterfeiting on Online Marketplace Platforms in Indonesia Through Regulatory Accountability</w:t>
                        </w:r>
                      </w:p>
                    </w:sdtContent>
                  </w:sdt>
                </w:txbxContent>
              </v:textbox>
              <w10:wrap anchorx="margin" anchory="margin"/>
            </v:shape>
          </w:pict>
        </mc:Fallback>
      </mc:AlternateContent>
    </w:r>
    <w:r>
      <w:rPr>
        <w:rFonts w:ascii="EB Garamond" w:eastAsia="EB Garamond" w:hAnsi="EB Garamond" w:cs="EB Garamond"/>
        <w:noProof/>
        <w:color w:val="000000"/>
        <w:sz w:val="20"/>
        <w:szCs w:val="20"/>
      </w:rPr>
      <mc:AlternateContent>
        <mc:Choice Requires="wps">
          <w:drawing>
            <wp:anchor distT="0" distB="0" distL="114300" distR="114300" simplePos="0" relativeHeight="251661312" behindDoc="0" locked="0" layoutInCell="0" allowOverlap="1" wp14:anchorId="111DD9C7" wp14:editId="41386A6E">
              <wp:simplePos x="0" y="0"/>
              <wp:positionH relativeFrom="page">
                <wp:align>left</wp:align>
              </wp:positionH>
              <wp:positionV relativeFrom="topMargin">
                <wp:align>center</wp:align>
              </wp:positionV>
              <wp:extent cx="914400" cy="170815"/>
              <wp:effectExtent l="0" t="0" r="5715" b="635"/>
              <wp:wrapNone/>
              <wp:docPr id="219" name="Kotak Teks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215B57"/>
                      </a:solidFill>
                      <a:ln>
                        <a:noFill/>
                      </a:ln>
                    </wps:spPr>
                    <wps:txbx>
                      <w:txbxContent>
                        <w:p w14:paraId="72A4E16A" w14:textId="77777777" w:rsidR="00A90240" w:rsidRDefault="00000000">
                          <w:pPr>
                            <w:spacing w:after="0" w:line="240" w:lineRule="auto"/>
                            <w:jc w:val="right"/>
                            <w:rPr>
                              <w:rFonts w:ascii="Cambria" w:hAnsi="Cambria"/>
                              <w:color w:val="FFFFFF" w:themeColor="background1"/>
                              <w:sz w:val="24"/>
                              <w:szCs w:val="24"/>
                            </w:rPr>
                          </w:pPr>
                          <w:r>
                            <w:rPr>
                              <w:rFonts w:ascii="Cambria" w:hAnsi="Cambria"/>
                              <w:sz w:val="24"/>
                              <w:szCs w:val="24"/>
                            </w:rPr>
                            <w:fldChar w:fldCharType="begin"/>
                          </w:r>
                          <w:r>
                            <w:rPr>
                              <w:rFonts w:ascii="Cambria" w:hAnsi="Cambria"/>
                              <w:sz w:val="24"/>
                              <w:szCs w:val="24"/>
                            </w:rPr>
                            <w:instrText>PAGE   \* MERGEFORMAT</w:instrText>
                          </w:r>
                          <w:r>
                            <w:rPr>
                              <w:rFonts w:ascii="Cambria" w:hAnsi="Cambria"/>
                              <w:sz w:val="24"/>
                              <w:szCs w:val="24"/>
                            </w:rPr>
                            <w:fldChar w:fldCharType="separate"/>
                          </w:r>
                          <w:r>
                            <w:rPr>
                              <w:rFonts w:ascii="Cambria" w:hAnsi="Cambria"/>
                              <w:color w:val="FFFFFF" w:themeColor="background1"/>
                              <w:sz w:val="24"/>
                              <w:szCs w:val="24"/>
                              <w:lang w:val="id-ID"/>
                            </w:rPr>
                            <w:t>2</w:t>
                          </w:r>
                          <w:r>
                            <w:rPr>
                              <w:rFonts w:ascii="Cambria" w:hAnsi="Cambria"/>
                              <w:color w:val="FFFFFF" w:themeColor="background1"/>
                              <w:sz w:val="24"/>
                              <w:szCs w:val="24"/>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11DD9C7" id="Kotak Teks 224" o:spid="_x0000_s1029" type="#_x0000_t202" style="position:absolute;margin-left:0;margin-top:0;width:1in;height:13.45pt;z-index:25166131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" o:allowincell="f" fillcolor="#215b57" stroked="f">
              <v:textbox style="mso-fit-shape-to-text:t" inset=",0,,0">
                <w:txbxContent>
                  <w:p w14:paraId="72A4E16A" w14:textId="77777777" w:rsidR="00A90240" w:rsidRDefault="00000000">
                    <w:pPr>
                      <w:spacing w:after="0" w:line="240" w:lineRule="auto"/>
                      <w:jc w:val="right"/>
                      <w:rPr>
                        <w:rFonts w:ascii="Cambria" w:hAnsi="Cambria"/>
                        <w:color w:val="FFFFFF" w:themeColor="background1"/>
                        <w:sz w:val="24"/>
                        <w:szCs w:val="24"/>
                      </w:rPr>
                    </w:pPr>
                    <w:r>
                      <w:rPr>
                        <w:rFonts w:ascii="Cambria" w:hAnsi="Cambria"/>
                        <w:sz w:val="24"/>
                        <w:szCs w:val="24"/>
                      </w:rPr>
                      <w:fldChar w:fldCharType="begin"/>
                    </w:r>
                    <w:r>
                      <w:rPr>
                        <w:rFonts w:ascii="Cambria" w:hAnsi="Cambria"/>
                        <w:sz w:val="24"/>
                        <w:szCs w:val="24"/>
                      </w:rPr>
                      <w:instrText>PAGE   \* MERGEFORMAT</w:instrText>
                    </w:r>
                    <w:r>
                      <w:rPr>
                        <w:rFonts w:ascii="Cambria" w:hAnsi="Cambria"/>
                        <w:sz w:val="24"/>
                        <w:szCs w:val="24"/>
                      </w:rPr>
                      <w:fldChar w:fldCharType="separate"/>
                    </w:r>
                    <w:r>
                      <w:rPr>
                        <w:rFonts w:ascii="Cambria" w:hAnsi="Cambria"/>
                        <w:color w:val="FFFFFF" w:themeColor="background1"/>
                        <w:sz w:val="24"/>
                        <w:szCs w:val="24"/>
                        <w:lang w:val="id-ID"/>
                      </w:rPr>
                      <w:t>2</w:t>
                    </w:r>
                    <w:r>
                      <w:rPr>
                        <w:rFonts w:ascii="Cambria" w:hAnsi="Cambria"/>
                        <w:color w:val="FFFFFF" w:themeColor="background1"/>
                        <w:sz w:val="24"/>
                        <w:szCs w:val="24"/>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7A4D6" w14:textId="3D0A5B60" w:rsidR="00A90240" w:rsidRDefault="00000000">
    <w:pPr>
      <w:tabs>
        <w:tab w:val="center" w:pos="4680"/>
        <w:tab w:val="right" w:pos="9360"/>
      </w:tabs>
      <w:spacing w:after="0" w:line="240" w:lineRule="auto"/>
      <w:jc w:val="right"/>
      <w:rPr>
        <w:rFonts w:ascii="Cambria" w:eastAsia="EB Garamond" w:hAnsi="Cambria" w:cs="EB Garamond"/>
        <w:iCs/>
        <w:color w:val="215B57"/>
        <w:sz w:val="20"/>
        <w:szCs w:val="20"/>
      </w:rPr>
    </w:pPr>
    <w:r>
      <w:rPr>
        <w:rFonts w:ascii="Cambria" w:eastAsia="EB Garamond" w:hAnsi="Cambria" w:cs="EB Garamond"/>
        <w:b/>
        <w:iCs/>
        <w:color w:val="215B57"/>
        <w:sz w:val="20"/>
        <w:szCs w:val="20"/>
      </w:rPr>
      <w:t xml:space="preserve">Causality: Journal National Public Issue, Vol. </w:t>
    </w:r>
    <w:r w:rsidR="00C626FA">
      <w:rPr>
        <w:rFonts w:ascii="Cambria" w:eastAsia="EB Garamond" w:hAnsi="Cambria" w:cs="EB Garamond"/>
        <w:b/>
        <w:iCs/>
        <w:color w:val="215B57"/>
        <w:sz w:val="20"/>
        <w:szCs w:val="20"/>
      </w:rPr>
      <w:t>3</w:t>
    </w:r>
    <w:r>
      <w:rPr>
        <w:rFonts w:ascii="Cambria" w:eastAsia="EB Garamond" w:hAnsi="Cambria" w:cs="EB Garamond"/>
        <w:b/>
        <w:iCs/>
        <w:color w:val="215B57"/>
        <w:sz w:val="20"/>
        <w:szCs w:val="20"/>
      </w:rPr>
      <w:t xml:space="preserve"> No. 1 (2026)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8FEDE" w14:textId="77777777" w:rsidR="00A90240" w:rsidRDefault="00000000">
    <w:pPr>
      <w:tabs>
        <w:tab w:val="center" w:pos="4680"/>
        <w:tab w:val="right" w:pos="9360"/>
      </w:tabs>
      <w:spacing w:after="0" w:line="240" w:lineRule="auto"/>
      <w:jc w:val="center"/>
      <w:rPr>
        <w:rFonts w:ascii="Cambria" w:eastAsia="Libre Baskerville" w:hAnsi="Cambria" w:cs="Libre Baskerville"/>
        <w:b/>
        <w:bCs/>
        <w:i/>
        <w:iCs/>
        <w:color w:val="B00000"/>
        <w:sz w:val="70"/>
        <w:szCs w:val="70"/>
      </w:rPr>
    </w:pPr>
    <w:r>
      <w:rPr>
        <w:rFonts w:ascii="Bodoni Bd BT" w:hAnsi="Bodoni Bd BT"/>
        <w:b/>
        <w:bCs/>
        <w:i/>
        <w:iCs/>
        <w:noProof/>
        <w:color w:val="000000" w:themeColor="text1"/>
        <w:sz w:val="70"/>
        <w:szCs w:val="70"/>
      </w:rPr>
      <mc:AlternateContent>
        <mc:Choice Requires="wps">
          <w:drawing>
            <wp:anchor distT="0" distB="0" distL="114300" distR="114300" simplePos="0" relativeHeight="251659264" behindDoc="0" locked="0" layoutInCell="1" allowOverlap="1" wp14:anchorId="2C57CE36" wp14:editId="3F8EB5B3">
              <wp:simplePos x="0" y="0"/>
              <wp:positionH relativeFrom="column">
                <wp:posOffset>2091690</wp:posOffset>
              </wp:positionH>
              <wp:positionV relativeFrom="paragraph">
                <wp:posOffset>-368300</wp:posOffset>
              </wp:positionV>
              <wp:extent cx="3995420" cy="469900"/>
              <wp:effectExtent l="0" t="0" r="0" b="6350"/>
              <wp:wrapNone/>
              <wp:docPr id="1678236134" name="Persegi Panjang 1678236134"/>
              <wp:cNvGraphicFramePr/>
              <a:graphic xmlns:a="http://schemas.openxmlformats.org/drawingml/2006/main">
                <a:graphicData uri="http://schemas.microsoft.com/office/word/2010/wordprocessingShape">
                  <wps:wsp>
                    <wps:cNvSpPr/>
                    <wps:spPr>
                      <a:xfrm>
                        <a:off x="0" y="0"/>
                        <a:ext cx="3995641" cy="469900"/>
                      </a:xfrm>
                      <a:prstGeom prst="rect">
                        <a:avLst/>
                      </a:prstGeom>
                      <a:noFill/>
                      <a:ln>
                        <a:noFill/>
                      </a:ln>
                    </wps:spPr>
                    <wps:txbx>
                      <w:txbxContent>
                        <w:p w14:paraId="1D9D0824" w14:textId="77777777" w:rsidR="00A90240" w:rsidRDefault="00A90240">
                          <w:pPr>
                            <w:spacing w:after="0" w:line="240" w:lineRule="auto"/>
                            <w:jc w:val="right"/>
                            <w:rPr>
                              <w:rFonts w:ascii="Cambria" w:eastAsia="EB Garamond" w:hAnsi="Cambria" w:cs="EB Garamond"/>
                              <w:color w:val="215B57"/>
                              <w:sz w:val="14"/>
                            </w:rPr>
                          </w:pPr>
                        </w:p>
                      </w:txbxContent>
                    </wps:txbx>
                    <wps:bodyPr spcFirstLastPara="1" wrap="square" lIns="91425" tIns="45700" rIns="91425" bIns="45700" anchor="ctr" anchorCtr="0">
                      <a:noAutofit/>
                    </wps:bodyPr>
                  </wps:wsp>
                </a:graphicData>
              </a:graphic>
            </wp:anchor>
          </w:drawing>
        </mc:Choice>
        <mc:Fallback>
          <w:pict>
            <v:rect w14:anchorId="2C57CE36" id="Persegi Panjang 1678236134" o:spid="_x0000_s1030" style="position:absolute;left:0;text-align:left;margin-left:164.7pt;margin-top:-29pt;width:314.6pt;height:3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" filled="f" stroked="f">
              <v:textbox inset="2.53958mm,1.2694mm,2.53958mm,1.2694mm">
                <w:txbxContent>
                  <w:p w14:paraId="1D9D0824" w14:textId="77777777" w:rsidR="00A90240" w:rsidRDefault="00A90240">
                    <w:pPr>
                      <w:spacing w:after="0" w:line="240" w:lineRule="auto"/>
                      <w:jc w:val="right"/>
                      <w:rPr>
                        <w:rFonts w:ascii="Cambria" w:eastAsia="EB Garamond" w:hAnsi="Cambria" w:cs="EB Garamond"/>
                        <w:color w:val="215B57"/>
                        <w:sz w:val="14"/>
                      </w:rPr>
                    </w:pPr>
                  </w:p>
                </w:txbxContent>
              </v:textbox>
            </v:rect>
          </w:pict>
        </mc:Fallback>
      </mc:AlternateContent>
    </w:r>
    <w:bookmarkStart w:id="0" w:name="_heading=h.o98nmeuzjxdh" w:colFirst="0" w:colLast="0"/>
    <w:bookmarkEnd w:id="0"/>
    <w:r>
      <w:rPr>
        <w:rFonts w:ascii="Bodoni Bd BT" w:hAnsi="Bodoni Bd BT"/>
        <w:b/>
        <w:bCs/>
        <w:i/>
        <w:iCs/>
        <w:color w:val="000000" w:themeColor="text1"/>
        <w:sz w:val="70"/>
        <w:szCs w:val="70"/>
      </w:rPr>
      <w:t>Causality</w:t>
    </w:r>
    <w:r>
      <w:rPr>
        <w:rFonts w:ascii="Cambria" w:eastAsia="Libre Baskerville" w:hAnsi="Cambria" w:cs="Libre Baskerville"/>
        <w:b/>
        <w:bCs/>
        <w:i/>
        <w:iCs/>
        <w:color w:val="215B57"/>
        <w:sz w:val="70"/>
        <w:szCs w:val="70"/>
      </w:rPr>
      <w:t xml:space="preserve"> </w:t>
    </w:r>
    <w:r>
      <w:rPr>
        <w:rFonts w:ascii="High Tower Text" w:eastAsia="Libre Baskerville" w:hAnsi="High Tower Text" w:cs="Libre Baskerville"/>
        <w:b/>
        <w:bCs/>
        <w:i/>
        <w:iCs/>
        <w:color w:val="215B57"/>
        <w:sz w:val="70"/>
        <w:szCs w:val="70"/>
      </w:rPr>
      <w:t>Journal</w:t>
    </w:r>
  </w:p>
  <w:p w14:paraId="76A673EB" w14:textId="77777777" w:rsidR="00A90240" w:rsidRDefault="00000000">
    <w:pPr>
      <w:tabs>
        <w:tab w:val="center" w:pos="4680"/>
        <w:tab w:val="right" w:pos="9360"/>
      </w:tabs>
      <w:spacing w:after="0" w:line="240" w:lineRule="auto"/>
      <w:jc w:val="center"/>
      <w:rPr>
        <w:rFonts w:ascii="Cambria" w:eastAsia="Libre Baskerville" w:hAnsi="Cambria" w:cs="Libre Baskerville"/>
        <w:color w:val="215B57"/>
        <w:sz w:val="20"/>
        <w:szCs w:val="20"/>
      </w:rPr>
    </w:pPr>
    <w:r>
      <w:rPr>
        <w:rFonts w:ascii="Cambria" w:eastAsia="Libre Baskerville" w:hAnsi="Cambria" w:cs="Libre Baskerville"/>
        <w:color w:val="215B57"/>
        <w:sz w:val="20"/>
        <w:szCs w:val="20"/>
      </w:rPr>
      <w:t>Journal National Public Issue</w:t>
    </w:r>
  </w:p>
  <w:p w14:paraId="6ABA0670" w14:textId="3FBDB4B5" w:rsidR="00A90240" w:rsidRDefault="00000000">
    <w:pPr>
      <w:tabs>
        <w:tab w:val="center" w:pos="4680"/>
        <w:tab w:val="right" w:pos="9360"/>
      </w:tabs>
      <w:spacing w:after="0" w:line="240" w:lineRule="auto"/>
      <w:jc w:val="center"/>
      <w:rPr>
        <w:rFonts w:ascii="Cambria" w:eastAsia="Libre Baskerville" w:hAnsi="Cambria" w:cs="Libre Baskerville"/>
        <w:color w:val="215B57"/>
        <w:sz w:val="20"/>
        <w:szCs w:val="20"/>
      </w:rPr>
    </w:pPr>
    <w:r>
      <w:rPr>
        <w:rFonts w:ascii="Cambria" w:eastAsia="Libre Baskerville" w:hAnsi="Cambria" w:cs="Libre Baskerville"/>
        <w:color w:val="215B57"/>
        <w:sz w:val="20"/>
        <w:szCs w:val="20"/>
      </w:rPr>
      <w:t>Volum</w:t>
    </w:r>
    <w:r w:rsidR="005E277B">
      <w:rPr>
        <w:rFonts w:ascii="Cambria" w:eastAsia="Libre Baskerville" w:hAnsi="Cambria" w:cs="Libre Baskerville"/>
        <w:color w:val="215B57"/>
        <w:sz w:val="20"/>
        <w:szCs w:val="20"/>
      </w:rPr>
      <w:t xml:space="preserve">e 3, </w:t>
    </w:r>
    <w:r>
      <w:rPr>
        <w:rFonts w:ascii="Cambria" w:eastAsia="Libre Baskerville" w:hAnsi="Cambria" w:cs="Libre Baskerville"/>
        <w:color w:val="215B57"/>
        <w:sz w:val="20"/>
        <w:szCs w:val="20"/>
      </w:rPr>
      <w:t xml:space="preserve">Issue </w:t>
    </w:r>
    <w:r w:rsidR="00EE4018">
      <w:rPr>
        <w:rFonts w:ascii="Cambria" w:eastAsia="Libre Baskerville" w:hAnsi="Cambria" w:cs="Libre Baskerville"/>
        <w:color w:val="215B57"/>
        <w:sz w:val="20"/>
        <w:szCs w:val="20"/>
      </w:rPr>
      <w:t>1</w:t>
    </w:r>
    <w:r>
      <w:rPr>
        <w:rFonts w:ascii="Cambria" w:eastAsia="Libre Baskerville" w:hAnsi="Cambria" w:cs="Libre Baskerville"/>
        <w:color w:val="215B57"/>
        <w:sz w:val="20"/>
        <w:szCs w:val="20"/>
      </w:rPr>
      <w:t xml:space="preserve"> </w:t>
    </w:r>
    <w:r w:rsidR="005E277B">
      <w:rPr>
        <w:rFonts w:ascii="Cambria" w:eastAsia="Libre Baskerville" w:hAnsi="Cambria" w:cs="Libre Baskerville"/>
        <w:color w:val="215B57"/>
        <w:sz w:val="20"/>
        <w:szCs w:val="20"/>
      </w:rPr>
      <w:t>(2026)</w:t>
    </w:r>
  </w:p>
  <w:p w14:paraId="7D95F17E" w14:textId="77777777" w:rsidR="00A90240" w:rsidRDefault="00000000">
    <w:pPr>
      <w:tabs>
        <w:tab w:val="center" w:pos="4680"/>
        <w:tab w:val="right" w:pos="9360"/>
      </w:tabs>
      <w:spacing w:after="0" w:line="240" w:lineRule="auto"/>
      <w:jc w:val="center"/>
      <w:rPr>
        <w:rFonts w:ascii="Cambria" w:eastAsia="Libre Baskerville" w:hAnsi="Cambria" w:cs="Libre Baskerville"/>
        <w:color w:val="215B57"/>
        <w:sz w:val="20"/>
        <w:szCs w:val="20"/>
      </w:rPr>
    </w:pPr>
    <w:r>
      <w:rPr>
        <w:noProof/>
        <w:color w:val="000000" w:themeColor="text1"/>
        <w:sz w:val="18"/>
      </w:rPr>
      <mc:AlternateContent>
        <mc:Choice Requires="wps">
          <w:drawing>
            <wp:anchor distT="0" distB="0" distL="0" distR="0" simplePos="0" relativeHeight="251660288" behindDoc="1" locked="0" layoutInCell="1" allowOverlap="1" wp14:anchorId="60DD63D3" wp14:editId="284B80A7">
              <wp:simplePos x="0" y="0"/>
              <wp:positionH relativeFrom="page">
                <wp:posOffset>362585</wp:posOffset>
              </wp:positionH>
              <wp:positionV relativeFrom="paragraph">
                <wp:posOffset>217805</wp:posOffset>
              </wp:positionV>
              <wp:extent cx="6778625" cy="45085"/>
              <wp:effectExtent l="0" t="0" r="0" b="0"/>
              <wp:wrapTopAndBottom/>
              <wp:docPr id="1" name="Graphic 1"/>
              <wp:cNvGraphicFramePr/>
              <a:graphic xmlns:a="http://schemas.openxmlformats.org/drawingml/2006/main">
                <a:graphicData uri="http://schemas.microsoft.com/office/word/2010/wordprocessingShape">
                  <wps:wsp>
                    <wps:cNvSpPr/>
                    <wps:spPr>
                      <a:xfrm>
                        <a:off x="0" y="0"/>
                        <a:ext cx="6778625" cy="45085"/>
                      </a:xfrm>
                      <a:custGeom>
                        <a:avLst/>
                        <a:gdLst/>
                        <a:ahLst/>
                        <a:cxnLst/>
                        <a:rect l="l" t="t" r="r" b="b"/>
                        <a:pathLst>
                          <a:path w="5676900">
                            <a:moveTo>
                              <a:pt x="0" y="0"/>
                            </a:moveTo>
                            <a:lnTo>
                              <a:pt x="5676900" y="0"/>
                            </a:lnTo>
                          </a:path>
                        </a:pathLst>
                      </a:custGeom>
                      <a:ln>
                        <a:solidFill>
                          <a:srgbClr val="215B57"/>
                        </a:solidFill>
                      </a:ln>
                    </wps:spPr>
                    <wps:style>
                      <a:lnRef idx="3">
                        <a:schemeClr val="dk1"/>
                      </a:lnRef>
                      <a:fillRef idx="0">
                        <a:schemeClr val="dk1"/>
                      </a:fillRef>
                      <a:effectRef idx="2">
                        <a:schemeClr val="dk1"/>
                      </a:effectRef>
                      <a:fontRef idx="minor">
                        <a:schemeClr val="tx1"/>
                      </a:fontRef>
                    </wps:style>
                    <wps:bodyPr wrap="square" lIns="0" tIns="0" rIns="0" bIns="0" rtlCol="0">
                      <a:noAutofit/>
                    </wps:bodyPr>
                  </wps:wsp>
                </a:graphicData>
              </a:graphic>
            </wp:anchor>
          </w:drawing>
        </mc:Choice>
        <mc:Fallback xmlns:wpsCustomData="http://www.wps.cn/officeDocument/2013/wpsCustomData">
          <w:pict>
            <v:shape id="Graphic 1" o:spid="_x0000_s1026" o:spt="100" style="position:absolute;left:0pt;margin-left:28.55pt;margin-top:17.15pt;height:3.55pt;width:533.75pt;mso-position-horizontal-relative:page;mso-wrap-distance-bottom:0pt;mso-wrap-distance-top:0pt;z-index:-251656192;mso-width-relative:page;mso-height-relative:page;" filled="f" stroked="t" coordsize="5676900,1" o:gfxdata="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X+Y/o9cAAAAJAQAADwAAAAAAAAABACAAAAAiAAAA&#10;ZHJzL2Rvd25yZXYueG1sUEsBAhQAFAAAAAgAh07iQFRW5o1BAgAAvwQAAA4AAAAAAAAAAQAgAAAA&#10;JgEAAGRycy9lMm9Eb2MueG1sUEsFBgAAAAAGAAYAWQEAANkFAAAAAA==&#10;" path="m0,0l5676900,0e">
              <v:fill on="f" focussize="0,0"/>
              <v:stroke weight="1.5pt" color="#215B57 [3200]" miterlimit="8" joinstyle="miter"/>
              <v:imagedata o:title=""/>
              <o:lock v:ext="edit" aspectratio="f"/>
              <v:textbox inset="0mm,0mm,0mm,0mm"/>
              <w10:wrap type="topAndBottom"/>
            </v:shape>
          </w:pict>
        </mc:Fallback>
      </mc:AlternateContent>
    </w:r>
    <w:r>
      <w:rPr>
        <w:rFonts w:ascii="Cambria" w:eastAsia="Libre Baskerville" w:hAnsi="Cambria" w:cs="Libre Baskerville"/>
        <w:color w:val="215B57"/>
        <w:sz w:val="20"/>
        <w:szCs w:val="20"/>
      </w:rPr>
      <w:t>P-ISSN: 1406-2345, E-ISSN: 1108-1234</w:t>
    </w:r>
  </w:p>
  <w:p w14:paraId="7C5E63CF" w14:textId="77777777" w:rsidR="00A90240" w:rsidRDefault="00A90240">
    <w:pPr>
      <w:tabs>
        <w:tab w:val="center" w:pos="4680"/>
        <w:tab w:val="right" w:pos="9360"/>
      </w:tabs>
      <w:spacing w:after="0" w:line="240" w:lineRule="auto"/>
      <w:rPr>
        <w:rFonts w:ascii="Cambria" w:eastAsia="Libre Baskerville" w:hAnsi="Cambria" w:cs="Libre Baskerville"/>
        <w:color w:val="215B57"/>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311C6"/>
    <w:multiLevelType w:val="hybridMultilevel"/>
    <w:tmpl w:val="F1D2B062"/>
    <w:lvl w:ilvl="0" w:tplc="50F4F962">
      <w:start w:val="1"/>
      <w:numFmt w:val="decimal"/>
      <w:lvlText w:val="%1."/>
      <w:lvlJc w:val="left"/>
      <w:pPr>
        <w:ind w:left="360" w:hanging="360"/>
      </w:pPr>
      <w:rPr>
        <w:rFonts w:hint="default"/>
        <w:b/>
        <w:color w:val="00000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 w15:restartNumberingAfterBreak="0">
    <w:nsid w:val="268F63F3"/>
    <w:multiLevelType w:val="multilevel"/>
    <w:tmpl w:val="268F63F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8EF07D9"/>
    <w:multiLevelType w:val="multilevel"/>
    <w:tmpl w:val="28EF07D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305433321">
    <w:abstractNumId w:val="1"/>
  </w:num>
  <w:num w:numId="2" w16cid:durableId="174460407">
    <w:abstractNumId w:val="2"/>
  </w:num>
  <w:num w:numId="3" w16cid:durableId="18437427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TrueTypeFonts/>
  <w:proofState w:spelling="clean" w:grammar="clean"/>
  <w:defaultTabStop w:val="720"/>
  <w:evenAndOddHeaders/>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31F"/>
    <w:rsid w:val="00014341"/>
    <w:rsid w:val="000435F8"/>
    <w:rsid w:val="00061B76"/>
    <w:rsid w:val="00084BEB"/>
    <w:rsid w:val="000C2D07"/>
    <w:rsid w:val="000D6099"/>
    <w:rsid w:val="00184C3E"/>
    <w:rsid w:val="001A7DE3"/>
    <w:rsid w:val="00233669"/>
    <w:rsid w:val="00264452"/>
    <w:rsid w:val="00344D06"/>
    <w:rsid w:val="00360B56"/>
    <w:rsid w:val="00370C0E"/>
    <w:rsid w:val="00397467"/>
    <w:rsid w:val="003C3304"/>
    <w:rsid w:val="004256C5"/>
    <w:rsid w:val="0045046C"/>
    <w:rsid w:val="00455F3C"/>
    <w:rsid w:val="00456BEA"/>
    <w:rsid w:val="004E3049"/>
    <w:rsid w:val="004F0411"/>
    <w:rsid w:val="004F1E05"/>
    <w:rsid w:val="00511BEC"/>
    <w:rsid w:val="005E277B"/>
    <w:rsid w:val="005F034A"/>
    <w:rsid w:val="00621443"/>
    <w:rsid w:val="00643A4E"/>
    <w:rsid w:val="00653E1C"/>
    <w:rsid w:val="006713CB"/>
    <w:rsid w:val="006E111D"/>
    <w:rsid w:val="006E68E3"/>
    <w:rsid w:val="00700AB6"/>
    <w:rsid w:val="007317E3"/>
    <w:rsid w:val="007449DC"/>
    <w:rsid w:val="0075448B"/>
    <w:rsid w:val="00775444"/>
    <w:rsid w:val="00852669"/>
    <w:rsid w:val="00895A27"/>
    <w:rsid w:val="00903EF1"/>
    <w:rsid w:val="00913A90"/>
    <w:rsid w:val="009164BC"/>
    <w:rsid w:val="00924430"/>
    <w:rsid w:val="00A049BB"/>
    <w:rsid w:val="00A31881"/>
    <w:rsid w:val="00A42D11"/>
    <w:rsid w:val="00A60C87"/>
    <w:rsid w:val="00A87C56"/>
    <w:rsid w:val="00A90240"/>
    <w:rsid w:val="00AD7B2F"/>
    <w:rsid w:val="00C16486"/>
    <w:rsid w:val="00C626FA"/>
    <w:rsid w:val="00C9231F"/>
    <w:rsid w:val="00CC3558"/>
    <w:rsid w:val="00D1353D"/>
    <w:rsid w:val="00D1572E"/>
    <w:rsid w:val="00D338A8"/>
    <w:rsid w:val="00D5014D"/>
    <w:rsid w:val="00DB720F"/>
    <w:rsid w:val="00DE235C"/>
    <w:rsid w:val="00E00040"/>
    <w:rsid w:val="00E63307"/>
    <w:rsid w:val="00E80EF3"/>
    <w:rsid w:val="00E9038F"/>
    <w:rsid w:val="00E976FC"/>
    <w:rsid w:val="00EE4018"/>
    <w:rsid w:val="00EF3919"/>
    <w:rsid w:val="00F24B98"/>
    <w:rsid w:val="00F926A9"/>
    <w:rsid w:val="00F940DE"/>
    <w:rsid w:val="1D1956C8"/>
  </w:rsids>
  <m:mathPr>
    <m:mathFont m:val="Cambria Math"/>
    <m:brkBin m:val="before"/>
    <m:brkBinSub m:val="--"/>
    <m:smallFrac m:val="0"/>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5FA00AE"/>
  <w15:docId w15:val="{0D25C436-D3D1-4722-815E-B7AAFEF83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qFormat="1"/>
    <w:lsdException w:name="annotation text"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8"/>
      <w:lang w:val="en-US" w:bidi="bn-IN"/>
    </w:rPr>
  </w:style>
  <w:style w:type="paragraph" w:styleId="Heading1">
    <w:name w:val="heading 1"/>
    <w:next w:val="Normal"/>
    <w:link w:val="Heading1Char"/>
    <w:uiPriority w:val="9"/>
    <w:qFormat/>
    <w:pPr>
      <w:keepNext/>
      <w:keepLines/>
      <w:spacing w:before="240" w:after="120" w:line="360" w:lineRule="auto"/>
      <w:outlineLvl w:val="0"/>
    </w:pPr>
    <w:rPr>
      <w:rFonts w:ascii="Times New Roman Bold" w:eastAsia="Times New Roman Bold" w:hAnsi="Times New Roman Bold" w:cs="Times New Roman Bold"/>
      <w:color w:val="000000"/>
      <w:sz w:val="28"/>
      <w:szCs w:val="28"/>
      <w:u w:color="000000"/>
      <w:lang w:val="en-US" w:eastAsia="fi-FI"/>
    </w:rPr>
  </w:style>
  <w:style w:type="paragraph" w:styleId="Heading2">
    <w:name w:val="heading 2"/>
    <w:next w:val="Normal"/>
    <w:link w:val="Heading2Char"/>
    <w:uiPriority w:val="9"/>
    <w:unhideWhenUsed/>
    <w:qFormat/>
    <w:pPr>
      <w:keepNext/>
      <w:keepLines/>
      <w:spacing w:before="40" w:after="120" w:line="360" w:lineRule="auto"/>
      <w:outlineLvl w:val="1"/>
    </w:pPr>
    <w:rPr>
      <w:rFonts w:ascii="Times New Roman Bold" w:eastAsia="Times New Roman Bold" w:hAnsi="Times New Roman Bold" w:cs="Times New Roman Bold"/>
      <w:color w:val="000000"/>
      <w:sz w:val="24"/>
      <w:szCs w:val="24"/>
      <w:u w:color="000000"/>
      <w:lang w:val="en-US" w:eastAsia="fi-FI"/>
    </w:rPr>
  </w:style>
  <w:style w:type="paragraph" w:styleId="Heading3">
    <w:name w:val="heading 3"/>
    <w:next w:val="Normal"/>
    <w:link w:val="Heading3Char"/>
    <w:uiPriority w:val="9"/>
    <w:unhideWhenUsed/>
    <w:qFormat/>
    <w:pPr>
      <w:keepNext/>
      <w:keepLines/>
      <w:spacing w:before="40" w:after="120" w:line="360" w:lineRule="auto"/>
      <w:outlineLvl w:val="2"/>
    </w:pPr>
    <w:rPr>
      <w:rFonts w:ascii="Times New Roman" w:eastAsia="Times New Roman" w:hAnsi="Times New Roman"/>
      <w:color w:val="000000"/>
      <w:sz w:val="24"/>
      <w:szCs w:val="24"/>
      <w:u w:color="000000"/>
      <w:lang w:val="en-US" w:eastAsia="fi-FI"/>
    </w:rPr>
  </w:style>
  <w:style w:type="paragraph" w:styleId="Heading4">
    <w:name w:val="heading 4"/>
    <w:basedOn w:val="Normal"/>
    <w:next w:val="Normal"/>
    <w:link w:val="Heading4Char"/>
    <w:uiPriority w:val="9"/>
    <w:semiHidden/>
    <w:unhideWhenUsed/>
    <w:qFormat/>
    <w:pPr>
      <w:keepNext/>
      <w:keepLines/>
      <w:spacing w:before="200" w:after="0" w:line="360" w:lineRule="auto"/>
      <w:outlineLvl w:val="3"/>
    </w:pPr>
    <w:rPr>
      <w:rFonts w:ascii="Times New Roman" w:eastAsia="Times New Roman" w:hAnsi="Times New Roman"/>
      <w:bCs/>
      <w:iCs/>
      <w:sz w:val="24"/>
      <w:szCs w:val="24"/>
      <w:u w:color="000000"/>
      <w:lang w:bidi="ar-SA"/>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20"/>
    </w:rPr>
  </w:style>
  <w:style w:type="paragraph" w:styleId="BodyText">
    <w:name w:val="Body Text"/>
    <w:basedOn w:val="Normal"/>
    <w:link w:val="BodyTextChar"/>
    <w:uiPriority w:val="99"/>
    <w:semiHidden/>
    <w:unhideWhenUsed/>
    <w:qFormat/>
    <w:pPr>
      <w:spacing w:after="120"/>
    </w:pPr>
  </w:style>
  <w:style w:type="paragraph" w:styleId="BodyText2">
    <w:name w:val="Body Text 2"/>
    <w:basedOn w:val="Normal"/>
    <w:link w:val="BodyText2Char"/>
    <w:semiHidden/>
    <w:pPr>
      <w:tabs>
        <w:tab w:val="left" w:pos="748"/>
      </w:tabs>
      <w:spacing w:after="0" w:line="360" w:lineRule="auto"/>
    </w:pPr>
    <w:rPr>
      <w:rFonts w:ascii="Times New Roman" w:eastAsia="Times New Roman" w:hAnsi="Times New Roman"/>
      <w:sz w:val="26"/>
      <w:szCs w:val="20"/>
      <w:lang w:bidi="ar-SA"/>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5"/>
    </w:rPr>
  </w:style>
  <w:style w:type="paragraph" w:styleId="CommentSubject">
    <w:name w:val="annotation subject"/>
    <w:basedOn w:val="CommentText"/>
    <w:next w:val="CommentText"/>
    <w:link w:val="CommentSubjectChar"/>
    <w:uiPriority w:val="99"/>
    <w:semiHidden/>
    <w:unhideWhenUsed/>
    <w:rPr>
      <w:b/>
      <w:bCs/>
    </w:rPr>
  </w:style>
  <w:style w:type="character" w:styleId="Emphasis">
    <w:name w:val="Emphasis"/>
    <w:uiPriority w:val="20"/>
    <w:qFormat/>
    <w:rPr>
      <w:i/>
      <w:iCs/>
    </w:rPr>
  </w:style>
  <w:style w:type="character" w:styleId="EndnoteReference">
    <w:name w:val="endnote reference"/>
    <w:uiPriority w:val="99"/>
    <w:semiHidden/>
    <w:unhideWhenUsed/>
    <w:rPr>
      <w:vertAlign w:val="superscript"/>
    </w:rPr>
  </w:style>
  <w:style w:type="paragraph" w:styleId="EndnoteText">
    <w:name w:val="endnote text"/>
    <w:basedOn w:val="Normal"/>
    <w:link w:val="EndnoteTextChar"/>
    <w:uiPriority w:val="99"/>
    <w:semiHidden/>
    <w:unhideWhenUsed/>
    <w:qFormat/>
    <w:pPr>
      <w:spacing w:after="0" w:line="240" w:lineRule="auto"/>
    </w:pPr>
    <w:rPr>
      <w:sz w:val="20"/>
      <w:szCs w:val="25"/>
    </w:rPr>
  </w:style>
  <w:style w:type="character" w:styleId="FollowedHyperlink">
    <w:name w:val="FollowedHyperlink"/>
    <w:uiPriority w:val="99"/>
    <w:semiHidden/>
    <w:unhideWhenUsed/>
    <w:qFormat/>
    <w:rPr>
      <w:color w:val="800080"/>
      <w:u w:val="single"/>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FootnoteReference">
    <w:name w:val="footnote reference"/>
    <w:uiPriority w:val="99"/>
    <w:qFormat/>
    <w:rPr>
      <w:vertAlign w:val="superscript"/>
    </w:rPr>
  </w:style>
  <w:style w:type="paragraph" w:styleId="FootnoteText">
    <w:name w:val="footnote text"/>
    <w:basedOn w:val="Normal"/>
    <w:link w:val="FootnoteTextChar"/>
    <w:uiPriority w:val="99"/>
    <w:qFormat/>
    <w:pPr>
      <w:spacing w:after="0" w:line="240" w:lineRule="auto"/>
    </w:pPr>
    <w:rPr>
      <w:rFonts w:ascii="Times New Roman" w:eastAsia="SimSun" w:hAnsi="Times New Roman"/>
      <w:sz w:val="20"/>
      <w:szCs w:val="20"/>
      <w:lang w:eastAsia="zh-CN" w:bidi="ar-SA"/>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unhideWhenUsed/>
    <w:rPr>
      <w:color w:val="0000FF"/>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sz w:val="24"/>
      <w:szCs w:val="24"/>
      <w:lang w:val="zh-CN"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pBdr>
        <w:bottom w:val="single" w:sz="8" w:space="4" w:color="4F81BD"/>
      </w:pBdr>
      <w:spacing w:after="300" w:line="240" w:lineRule="auto"/>
      <w:contextualSpacing/>
    </w:pPr>
    <w:rPr>
      <w:rFonts w:ascii="Cambria" w:eastAsia="Times New Roman" w:hAnsi="Cambria"/>
      <w:color w:val="17365D"/>
      <w:spacing w:val="5"/>
      <w:kern w:val="28"/>
      <w:sz w:val="52"/>
      <w:szCs w:val="52"/>
      <w:u w:color="000000"/>
      <w:lang w:bidi="ar-SA"/>
    </w:rPr>
  </w:style>
  <w:style w:type="paragraph" w:styleId="TOC1">
    <w:name w:val="toc 1"/>
    <w:basedOn w:val="Normal"/>
    <w:next w:val="Normal"/>
    <w:autoRedefine/>
    <w:uiPriority w:val="39"/>
    <w:unhideWhenUsed/>
    <w:qFormat/>
    <w:pPr>
      <w:spacing w:before="120" w:after="0" w:line="360" w:lineRule="auto"/>
    </w:pPr>
    <w:rPr>
      <w:rFonts w:eastAsia="Arial Unicode MS" w:cs="Arial Unicode MS"/>
      <w:b/>
      <w:caps/>
      <w:color w:val="000000"/>
      <w:szCs w:val="22"/>
      <w:u w:color="000000"/>
      <w:lang w:bidi="ar-SA"/>
    </w:rPr>
  </w:style>
  <w:style w:type="paragraph" w:styleId="TOC2">
    <w:name w:val="toc 2"/>
    <w:basedOn w:val="Normal"/>
    <w:next w:val="Normal"/>
    <w:autoRedefine/>
    <w:uiPriority w:val="39"/>
    <w:unhideWhenUsed/>
    <w:qFormat/>
    <w:pPr>
      <w:tabs>
        <w:tab w:val="right" w:leader="dot" w:pos="9054"/>
      </w:tabs>
      <w:spacing w:after="0" w:line="360" w:lineRule="auto"/>
      <w:ind w:left="240"/>
    </w:pPr>
    <w:rPr>
      <w:rFonts w:eastAsia="Arial Unicode MS" w:cs="Arial Unicode MS"/>
      <w:smallCaps/>
      <w:color w:val="000000"/>
      <w:szCs w:val="22"/>
      <w:u w:color="000000"/>
      <w:lang w:bidi="ar-SA"/>
    </w:rPr>
  </w:style>
  <w:style w:type="paragraph" w:styleId="TOC3">
    <w:name w:val="toc 3"/>
    <w:basedOn w:val="Normal"/>
    <w:next w:val="Normal"/>
    <w:autoRedefine/>
    <w:uiPriority w:val="39"/>
    <w:unhideWhenUsed/>
    <w:qFormat/>
    <w:pPr>
      <w:spacing w:after="0" w:line="360" w:lineRule="auto"/>
      <w:ind w:left="480"/>
    </w:pPr>
    <w:rPr>
      <w:rFonts w:eastAsia="Arial Unicode MS" w:cs="Arial Unicode MS"/>
      <w:i/>
      <w:color w:val="000000"/>
      <w:szCs w:val="22"/>
      <w:u w:color="000000"/>
      <w:lang w:bidi="ar-SA"/>
    </w:rPr>
  </w:style>
  <w:style w:type="paragraph" w:styleId="TOC4">
    <w:name w:val="toc 4"/>
    <w:basedOn w:val="Normal"/>
    <w:next w:val="Normal"/>
    <w:autoRedefine/>
    <w:uiPriority w:val="39"/>
    <w:semiHidden/>
    <w:unhideWhenUsed/>
    <w:qFormat/>
    <w:pPr>
      <w:spacing w:after="0" w:line="360" w:lineRule="auto"/>
      <w:ind w:left="720"/>
    </w:pPr>
    <w:rPr>
      <w:rFonts w:eastAsia="Arial Unicode MS" w:cs="Arial Unicode MS"/>
      <w:color w:val="000000"/>
      <w:sz w:val="18"/>
      <w:szCs w:val="18"/>
      <w:u w:color="000000"/>
      <w:lang w:bidi="ar-SA"/>
    </w:rPr>
  </w:style>
  <w:style w:type="paragraph" w:styleId="TOC5">
    <w:name w:val="toc 5"/>
    <w:basedOn w:val="Normal"/>
    <w:next w:val="Normal"/>
    <w:autoRedefine/>
    <w:uiPriority w:val="39"/>
    <w:semiHidden/>
    <w:unhideWhenUsed/>
    <w:qFormat/>
    <w:pPr>
      <w:spacing w:after="0" w:line="360" w:lineRule="auto"/>
      <w:ind w:left="960"/>
    </w:pPr>
    <w:rPr>
      <w:rFonts w:eastAsia="Arial Unicode MS" w:cs="Arial Unicode MS"/>
      <w:color w:val="000000"/>
      <w:sz w:val="18"/>
      <w:szCs w:val="18"/>
      <w:u w:color="000000"/>
      <w:lang w:bidi="ar-SA"/>
    </w:rPr>
  </w:style>
  <w:style w:type="paragraph" w:styleId="TOC6">
    <w:name w:val="toc 6"/>
    <w:basedOn w:val="Normal"/>
    <w:next w:val="Normal"/>
    <w:autoRedefine/>
    <w:uiPriority w:val="39"/>
    <w:semiHidden/>
    <w:unhideWhenUsed/>
    <w:qFormat/>
    <w:pPr>
      <w:spacing w:after="0" w:line="360" w:lineRule="auto"/>
      <w:ind w:left="1200"/>
    </w:pPr>
    <w:rPr>
      <w:rFonts w:eastAsia="Arial Unicode MS" w:cs="Arial Unicode MS"/>
      <w:color w:val="000000"/>
      <w:sz w:val="18"/>
      <w:szCs w:val="18"/>
      <w:u w:color="000000"/>
      <w:lang w:bidi="ar-SA"/>
    </w:rPr>
  </w:style>
  <w:style w:type="paragraph" w:styleId="TOC7">
    <w:name w:val="toc 7"/>
    <w:basedOn w:val="Normal"/>
    <w:next w:val="Normal"/>
    <w:autoRedefine/>
    <w:uiPriority w:val="39"/>
    <w:semiHidden/>
    <w:unhideWhenUsed/>
    <w:qFormat/>
    <w:pPr>
      <w:spacing w:after="0" w:line="360" w:lineRule="auto"/>
      <w:ind w:left="1440"/>
    </w:pPr>
    <w:rPr>
      <w:rFonts w:eastAsia="Arial Unicode MS" w:cs="Arial Unicode MS"/>
      <w:color w:val="000000"/>
      <w:sz w:val="18"/>
      <w:szCs w:val="18"/>
      <w:u w:color="000000"/>
      <w:lang w:bidi="ar-SA"/>
    </w:rPr>
  </w:style>
  <w:style w:type="paragraph" w:styleId="TOC8">
    <w:name w:val="toc 8"/>
    <w:basedOn w:val="Normal"/>
    <w:next w:val="Normal"/>
    <w:autoRedefine/>
    <w:uiPriority w:val="39"/>
    <w:semiHidden/>
    <w:unhideWhenUsed/>
    <w:qFormat/>
    <w:pPr>
      <w:spacing w:after="0" w:line="360" w:lineRule="auto"/>
      <w:ind w:left="1680"/>
    </w:pPr>
    <w:rPr>
      <w:rFonts w:eastAsia="Arial Unicode MS" w:cs="Arial Unicode MS"/>
      <w:color w:val="000000"/>
      <w:sz w:val="18"/>
      <w:szCs w:val="18"/>
      <w:u w:color="000000"/>
      <w:lang w:bidi="ar-SA"/>
    </w:rPr>
  </w:style>
  <w:style w:type="paragraph" w:styleId="TOC9">
    <w:name w:val="toc 9"/>
    <w:basedOn w:val="Normal"/>
    <w:next w:val="Normal"/>
    <w:autoRedefine/>
    <w:uiPriority w:val="39"/>
    <w:semiHidden/>
    <w:unhideWhenUsed/>
    <w:qFormat/>
    <w:pPr>
      <w:spacing w:after="0" w:line="360" w:lineRule="auto"/>
      <w:ind w:left="1920"/>
    </w:pPr>
    <w:rPr>
      <w:rFonts w:eastAsia="Arial Unicode MS" w:cs="Arial Unicode MS"/>
      <w:color w:val="000000"/>
      <w:sz w:val="18"/>
      <w:szCs w:val="18"/>
      <w:u w:color="000000"/>
      <w:lang w:bidi="ar-SA"/>
    </w:rPr>
  </w:style>
  <w:style w:type="table" w:customStyle="1" w:styleId="TableNormal1">
    <w:name w:val="Table Normal1"/>
    <w:qFormat/>
    <w:rPr>
      <w:rFonts w:ascii="Times New Roman" w:eastAsia="Arial Unicode MS" w:hAnsi="Times New Roman"/>
      <w:sz w:val="24"/>
      <w:szCs w:val="24"/>
      <w:lang w:val="fi-FI" w:eastAsia="fi-FI"/>
    </w:rPr>
    <w:tblPr>
      <w:tblCellMar>
        <w:top w:w="0" w:type="dxa"/>
        <w:left w:w="0" w:type="dxa"/>
        <w:bottom w:w="0" w:type="dxa"/>
        <w:right w:w="0" w:type="dxa"/>
      </w:tblCellMar>
    </w:tblPr>
  </w:style>
  <w:style w:type="character" w:customStyle="1" w:styleId="FootnoteTextChar">
    <w:name w:val="Footnote Text Char"/>
    <w:link w:val="FootnoteText"/>
    <w:uiPriority w:val="99"/>
    <w:qFormat/>
    <w:rPr>
      <w:rFonts w:ascii="Times New Roman" w:eastAsia="SimSun" w:hAnsi="Times New Roman" w:cs="Times New Roman"/>
      <w:sz w:val="20"/>
      <w:szCs w:val="20"/>
      <w:lang w:eastAsia="zh-CN" w:bidi="ar-SA"/>
    </w:rPr>
  </w:style>
  <w:style w:type="paragraph" w:styleId="ListParagraph">
    <w:name w:val="List Paragraph"/>
    <w:basedOn w:val="Normal"/>
    <w:uiPriority w:val="99"/>
    <w:qFormat/>
    <w:pPr>
      <w:ind w:left="720"/>
      <w:contextualSpacing/>
    </w:pPr>
  </w:style>
  <w:style w:type="character" w:customStyle="1" w:styleId="BalloonTextChar">
    <w:name w:val="Balloon Text Char"/>
    <w:link w:val="BalloonText"/>
    <w:uiPriority w:val="99"/>
    <w:semiHidden/>
    <w:rPr>
      <w:rFonts w:ascii="Tahoma" w:hAnsi="Tahoma" w:cs="Tahoma"/>
      <w:sz w:val="16"/>
      <w:szCs w:val="20"/>
    </w:rPr>
  </w:style>
  <w:style w:type="paragraph" w:customStyle="1" w:styleId="Bibliografi1">
    <w:name w:val="Bibliografi1"/>
    <w:basedOn w:val="Normal"/>
    <w:next w:val="Normal"/>
    <w:uiPriority w:val="37"/>
    <w:unhideWhenUsed/>
    <w:qFormat/>
  </w:style>
  <w:style w:type="paragraph" w:styleId="NoSpacing">
    <w:name w:val="No Spacing"/>
    <w:uiPriority w:val="1"/>
    <w:qFormat/>
    <w:pPr>
      <w:spacing w:after="200" w:line="276" w:lineRule="auto"/>
      <w:jc w:val="both"/>
    </w:pPr>
    <w:rPr>
      <w:sz w:val="22"/>
      <w:szCs w:val="22"/>
      <w:lang w:val="en-US"/>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EndnoteTextChar">
    <w:name w:val="Endnote Text Char"/>
    <w:link w:val="EndnoteText"/>
    <w:uiPriority w:val="99"/>
    <w:semiHidden/>
    <w:rPr>
      <w:sz w:val="20"/>
      <w:szCs w:val="25"/>
    </w:rPr>
  </w:style>
  <w:style w:type="paragraph" w:customStyle="1" w:styleId="Default">
    <w:name w:val="Default"/>
    <w:pPr>
      <w:autoSpaceDE w:val="0"/>
      <w:autoSpaceDN w:val="0"/>
      <w:adjustRightInd w:val="0"/>
      <w:spacing w:after="200" w:line="276" w:lineRule="auto"/>
    </w:pPr>
    <w:rPr>
      <w:rFonts w:ascii="Times New Roman" w:hAnsi="Times New Roman"/>
      <w:color w:val="000000"/>
      <w:sz w:val="24"/>
      <w:szCs w:val="24"/>
      <w:lang w:val="en-US" w:bidi="bn-IN"/>
    </w:rPr>
  </w:style>
  <w:style w:type="paragraph" w:customStyle="1" w:styleId="Style1">
    <w:name w:val="Style1"/>
    <w:basedOn w:val="NoSpacing"/>
    <w:link w:val="Style1Char"/>
    <w:qFormat/>
    <w:pPr>
      <w:jc w:val="left"/>
    </w:pPr>
    <w:rPr>
      <w:rFonts w:cs="Vrinda"/>
    </w:rPr>
  </w:style>
  <w:style w:type="character" w:customStyle="1" w:styleId="Style1Char">
    <w:name w:val="Style1 Char"/>
    <w:link w:val="Style1"/>
    <w:rPr>
      <w:rFonts w:ascii="Calibri" w:eastAsia="Calibri" w:hAnsi="Calibri" w:cs="Vrinda"/>
      <w:szCs w:val="22"/>
      <w:lang w:bidi="ar-SA"/>
    </w:rPr>
  </w:style>
  <w:style w:type="character" w:customStyle="1" w:styleId="BodyText2Char">
    <w:name w:val="Body Text 2 Char"/>
    <w:link w:val="BodyText2"/>
    <w:semiHidden/>
    <w:rPr>
      <w:rFonts w:ascii="Times New Roman" w:eastAsia="Times New Roman" w:hAnsi="Times New Roman" w:cs="Times New Roman"/>
      <w:sz w:val="26"/>
      <w:szCs w:val="20"/>
      <w:lang w:bidi="ar-SA"/>
    </w:rPr>
  </w:style>
  <w:style w:type="character" w:customStyle="1" w:styleId="CommentTextChar">
    <w:name w:val="Comment Text Char"/>
    <w:link w:val="CommentText"/>
    <w:uiPriority w:val="99"/>
    <w:rPr>
      <w:sz w:val="20"/>
      <w:szCs w:val="25"/>
    </w:rPr>
  </w:style>
  <w:style w:type="character" w:customStyle="1" w:styleId="CommentSubjectChar">
    <w:name w:val="Comment Subject Char"/>
    <w:link w:val="CommentSubject"/>
    <w:uiPriority w:val="99"/>
    <w:semiHidden/>
    <w:qFormat/>
    <w:rPr>
      <w:b/>
      <w:bCs/>
      <w:sz w:val="20"/>
      <w:szCs w:val="25"/>
    </w:rPr>
  </w:style>
  <w:style w:type="character" w:customStyle="1" w:styleId="apple-converted-space">
    <w:name w:val="apple-converted-space"/>
    <w:basedOn w:val="DefaultParagraphFont"/>
  </w:style>
  <w:style w:type="character" w:customStyle="1" w:styleId="Menyebutkan1">
    <w:name w:val="Menyebutkan1"/>
    <w:uiPriority w:val="99"/>
    <w:semiHidden/>
    <w:unhideWhenUsed/>
    <w:qFormat/>
    <w:rPr>
      <w:color w:val="2B579A"/>
      <w:shd w:val="clear" w:color="auto" w:fill="E6E6E6"/>
    </w:rPr>
  </w:style>
  <w:style w:type="character" w:customStyle="1" w:styleId="SebutanYangBelumTerselesaikan1">
    <w:name w:val="Sebutan Yang Belum Terselesaikan1"/>
    <w:uiPriority w:val="99"/>
    <w:semiHidden/>
    <w:unhideWhenUsed/>
    <w:rPr>
      <w:color w:val="808080"/>
      <w:shd w:val="clear" w:color="auto" w:fill="E6E6E6"/>
    </w:rPr>
  </w:style>
  <w:style w:type="character" w:customStyle="1" w:styleId="Heading1Char">
    <w:name w:val="Heading 1 Char"/>
    <w:link w:val="Heading1"/>
    <w:qFormat/>
    <w:rPr>
      <w:rFonts w:ascii="Times New Roman Bold" w:eastAsia="Times New Roman Bold" w:hAnsi="Times New Roman Bold" w:cs="Times New Roman Bold"/>
      <w:color w:val="000000"/>
      <w:sz w:val="28"/>
      <w:u w:color="000000"/>
      <w:lang w:eastAsia="fi-FI" w:bidi="ar-SA"/>
    </w:rPr>
  </w:style>
  <w:style w:type="character" w:customStyle="1" w:styleId="Heading2Char">
    <w:name w:val="Heading 2 Char"/>
    <w:link w:val="Heading2"/>
    <w:qFormat/>
    <w:rPr>
      <w:rFonts w:ascii="Times New Roman Bold" w:eastAsia="Times New Roman Bold" w:hAnsi="Times New Roman Bold" w:cs="Times New Roman Bold"/>
      <w:color w:val="000000"/>
      <w:sz w:val="24"/>
      <w:szCs w:val="24"/>
      <w:u w:color="000000"/>
      <w:lang w:eastAsia="fi-FI" w:bidi="ar-SA"/>
    </w:rPr>
  </w:style>
  <w:style w:type="character" w:customStyle="1" w:styleId="Heading3Char">
    <w:name w:val="Heading 3 Char"/>
    <w:link w:val="Heading3"/>
    <w:qFormat/>
    <w:rPr>
      <w:rFonts w:ascii="Times New Roman" w:eastAsia="Times New Roman" w:hAnsi="Times New Roman" w:cs="Times New Roman"/>
      <w:color w:val="000000"/>
      <w:sz w:val="24"/>
      <w:szCs w:val="24"/>
      <w:u w:color="000000"/>
      <w:lang w:eastAsia="fi-FI" w:bidi="ar-SA"/>
    </w:rPr>
  </w:style>
  <w:style w:type="character" w:customStyle="1" w:styleId="Heading4Char">
    <w:name w:val="Heading 4 Char"/>
    <w:link w:val="Heading4"/>
    <w:uiPriority w:val="9"/>
    <w:qFormat/>
    <w:rPr>
      <w:rFonts w:ascii="Times New Roman" w:eastAsia="Times New Roman" w:hAnsi="Times New Roman" w:cs="Times New Roman"/>
      <w:bCs/>
      <w:iCs/>
      <w:sz w:val="24"/>
      <w:szCs w:val="24"/>
      <w:u w:color="000000"/>
      <w:lang w:bidi="ar-SA"/>
    </w:rPr>
  </w:style>
  <w:style w:type="paragraph" w:customStyle="1" w:styleId="Yl-jaalaotsake">
    <w:name w:val="Ylä- ja alaotsake"/>
    <w:qFormat/>
    <w:pPr>
      <w:tabs>
        <w:tab w:val="right" w:pos="9020"/>
      </w:tabs>
      <w:spacing w:after="200" w:line="276" w:lineRule="auto"/>
    </w:pPr>
    <w:rPr>
      <w:rFonts w:ascii="Helvetica" w:eastAsia="Arial Unicode MS" w:hAnsi="Arial Unicode MS" w:cs="Arial Unicode MS"/>
      <w:color w:val="000000"/>
      <w:sz w:val="24"/>
      <w:szCs w:val="24"/>
      <w:lang w:val="fi-FI" w:eastAsia="fi-FI"/>
    </w:rPr>
  </w:style>
  <w:style w:type="paragraph" w:customStyle="1" w:styleId="JudulTOC1">
    <w:name w:val="Judul TOC1"/>
    <w:next w:val="Normal"/>
    <w:uiPriority w:val="39"/>
    <w:qFormat/>
    <w:pPr>
      <w:keepNext/>
      <w:keepLines/>
      <w:spacing w:before="240" w:after="120" w:line="259" w:lineRule="auto"/>
    </w:pPr>
    <w:rPr>
      <w:rFonts w:ascii="Calibri Light" w:eastAsia="Calibri Light" w:hAnsi="Calibri Light" w:cs="Calibri Light"/>
      <w:color w:val="2E74B5"/>
      <w:sz w:val="32"/>
      <w:szCs w:val="32"/>
      <w:u w:color="2E74B5"/>
      <w:lang w:val="en-US" w:eastAsia="fi-FI"/>
    </w:rPr>
  </w:style>
  <w:style w:type="paragraph" w:customStyle="1" w:styleId="TOC11">
    <w:name w:val="TOC 11"/>
    <w:qFormat/>
    <w:pPr>
      <w:tabs>
        <w:tab w:val="right" w:pos="9044"/>
      </w:tabs>
      <w:spacing w:after="100" w:line="360" w:lineRule="auto"/>
    </w:pPr>
    <w:rPr>
      <w:rFonts w:ascii="Times New Roman Bold" w:eastAsia="Times New Roman Bold" w:hAnsi="Times New Roman Bold" w:cs="Times New Roman Bold"/>
      <w:color w:val="000000"/>
      <w:sz w:val="28"/>
      <w:szCs w:val="28"/>
      <w:u w:color="000000"/>
      <w:lang w:val="en-US" w:eastAsia="fi-FI"/>
    </w:rPr>
  </w:style>
  <w:style w:type="paragraph" w:customStyle="1" w:styleId="TOC21">
    <w:name w:val="TOC 21"/>
    <w:qFormat/>
    <w:pPr>
      <w:tabs>
        <w:tab w:val="right" w:pos="9044"/>
      </w:tabs>
      <w:spacing w:after="100" w:line="360" w:lineRule="auto"/>
    </w:pPr>
    <w:rPr>
      <w:rFonts w:ascii="Times New Roman Bold" w:eastAsia="Times New Roman Bold" w:hAnsi="Times New Roman Bold" w:cs="Times New Roman Bold"/>
      <w:color w:val="000000"/>
      <w:sz w:val="28"/>
      <w:szCs w:val="28"/>
      <w:u w:color="000000"/>
      <w:lang w:val="fi-FI" w:eastAsia="fi-FI"/>
    </w:rPr>
  </w:style>
  <w:style w:type="paragraph" w:customStyle="1" w:styleId="TOC31">
    <w:name w:val="TOC 31"/>
    <w:qFormat/>
    <w:pPr>
      <w:tabs>
        <w:tab w:val="right" w:pos="9044"/>
      </w:tabs>
      <w:spacing w:after="100" w:line="360" w:lineRule="auto"/>
      <w:ind w:left="480"/>
    </w:pPr>
    <w:rPr>
      <w:rFonts w:ascii="Times New Roman" w:eastAsia="Times New Roman" w:hAnsi="Times New Roman"/>
      <w:color w:val="000000"/>
      <w:sz w:val="24"/>
      <w:szCs w:val="24"/>
      <w:u w:color="000000"/>
      <w:lang w:val="en-US" w:eastAsia="fi-FI"/>
    </w:rPr>
  </w:style>
  <w:style w:type="character" w:customStyle="1" w:styleId="Linkki">
    <w:name w:val="Linkki"/>
    <w:qFormat/>
    <w:rPr>
      <w:color w:val="0563C1"/>
      <w:u w:val="single" w:color="0563C1"/>
    </w:rPr>
  </w:style>
  <w:style w:type="character" w:customStyle="1" w:styleId="Hyperlink0">
    <w:name w:val="Hyperlink.0"/>
    <w:qFormat/>
    <w:rPr>
      <w:color w:val="0563C1"/>
      <w:sz w:val="22"/>
      <w:szCs w:val="22"/>
      <w:u w:val="single" w:color="0563C1"/>
      <w:lang w:val="en-US"/>
    </w:rPr>
  </w:style>
  <w:style w:type="character" w:customStyle="1" w:styleId="Hyperlink1">
    <w:name w:val="Hyperlink.1"/>
    <w:qFormat/>
    <w:rPr>
      <w:color w:val="0563C1"/>
      <w:sz w:val="22"/>
      <w:szCs w:val="22"/>
      <w:u w:val="single" w:color="0563C1"/>
    </w:rPr>
  </w:style>
  <w:style w:type="character" w:customStyle="1" w:styleId="Hyperlink2">
    <w:name w:val="Hyperlink.2"/>
    <w:qFormat/>
    <w:rPr>
      <w:color w:val="0563C1"/>
      <w:u w:val="single" w:color="0563C1"/>
      <w:lang w:val="en-US"/>
    </w:rPr>
  </w:style>
  <w:style w:type="paragraph" w:customStyle="1" w:styleId="Alaviite">
    <w:name w:val="Alaviite"/>
    <w:qFormat/>
    <w:pPr>
      <w:spacing w:after="200" w:line="276" w:lineRule="auto"/>
    </w:pPr>
    <w:rPr>
      <w:rFonts w:ascii="Helvetica" w:eastAsia="Helvetica" w:hAnsi="Helvetica" w:cs="Helvetica"/>
      <w:color w:val="000000"/>
      <w:sz w:val="22"/>
      <w:szCs w:val="22"/>
      <w:u w:color="000000"/>
      <w:lang w:val="fi-FI" w:eastAsia="fi-FI"/>
    </w:rPr>
  </w:style>
  <w:style w:type="character" w:customStyle="1" w:styleId="TitleChar">
    <w:name w:val="Title Char"/>
    <w:link w:val="Title"/>
    <w:uiPriority w:val="10"/>
    <w:qFormat/>
    <w:rPr>
      <w:rFonts w:ascii="Cambria" w:eastAsia="Times New Roman" w:hAnsi="Cambria" w:cs="Times New Roman"/>
      <w:color w:val="17365D"/>
      <w:spacing w:val="5"/>
      <w:kern w:val="28"/>
      <w:sz w:val="52"/>
      <w:szCs w:val="52"/>
      <w:u w:color="000000"/>
      <w:lang w:bidi="ar-SA"/>
    </w:rPr>
  </w:style>
  <w:style w:type="paragraph" w:customStyle="1" w:styleId="Tyyli1">
    <w:name w:val="Tyyli1"/>
    <w:basedOn w:val="Heading2"/>
    <w:qFormat/>
    <w:rPr>
      <w:b/>
    </w:rPr>
  </w:style>
  <w:style w:type="paragraph" w:customStyle="1" w:styleId="Heading21">
    <w:name w:val="Heading 21"/>
    <w:basedOn w:val="Heading2"/>
    <w:qFormat/>
    <w:rPr>
      <w:b/>
    </w:rPr>
  </w:style>
  <w:style w:type="paragraph" w:customStyle="1" w:styleId="LeiptekstiA">
    <w:name w:val="Leipäteksti A"/>
    <w:qFormat/>
    <w:pPr>
      <w:spacing w:after="200" w:line="276" w:lineRule="auto"/>
    </w:pPr>
    <w:rPr>
      <w:rFonts w:ascii="Times New Roman" w:eastAsia="Arial Unicode MS" w:hAnsi="Arial Unicode MS" w:cs="Arial Unicode MS"/>
      <w:color w:val="000000"/>
      <w:sz w:val="24"/>
      <w:szCs w:val="24"/>
      <w:u w:color="000000"/>
      <w:lang w:val="en-US" w:eastAsia="fi-FI"/>
    </w:rPr>
  </w:style>
  <w:style w:type="paragraph" w:customStyle="1" w:styleId="Revisi1">
    <w:name w:val="Revisi1"/>
    <w:hidden/>
    <w:uiPriority w:val="99"/>
    <w:semiHidden/>
    <w:qFormat/>
    <w:pPr>
      <w:spacing w:after="200" w:line="276" w:lineRule="auto"/>
    </w:pPr>
    <w:rPr>
      <w:rFonts w:ascii="Times New Roman" w:eastAsia="Arial Unicode MS" w:hAnsi="Arial Unicode MS" w:cs="Arial Unicode MS"/>
      <w:color w:val="000000"/>
      <w:sz w:val="24"/>
      <w:szCs w:val="24"/>
      <w:u w:color="000000"/>
      <w:lang w:val="en-US"/>
    </w:rPr>
  </w:style>
  <w:style w:type="character" w:customStyle="1" w:styleId="allowtextselection">
    <w:name w:val="allowtextselection"/>
    <w:basedOn w:val="DefaultParagraphFont"/>
    <w:qFormat/>
  </w:style>
  <w:style w:type="character" w:styleId="PlaceholderText">
    <w:name w:val="Placeholder Text"/>
    <w:uiPriority w:val="99"/>
    <w:semiHidden/>
    <w:qFormat/>
    <w:rPr>
      <w:color w:val="808080"/>
    </w:rPr>
  </w:style>
  <w:style w:type="character" w:customStyle="1" w:styleId="hps">
    <w:name w:val="hps"/>
    <w:qFormat/>
  </w:style>
  <w:style w:type="paragraph" w:styleId="IntenseQuote">
    <w:name w:val="Intense Quote"/>
    <w:basedOn w:val="Normal"/>
    <w:next w:val="Normal"/>
    <w:link w:val="IntenseQuoteChar"/>
    <w:uiPriority w:val="30"/>
    <w:qFormat/>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Pr>
      <w:i/>
      <w:iCs/>
      <w:color w:val="4472C4" w:themeColor="accent1"/>
      <w:sz w:val="22"/>
      <w:szCs w:val="28"/>
      <w:lang w:val="en-US" w:bidi="bn-IN"/>
    </w:rPr>
  </w:style>
  <w:style w:type="table" w:customStyle="1" w:styleId="Style79">
    <w:name w:val="_Style 79"/>
    <w:basedOn w:val="TableNormal1"/>
    <w:qFormat/>
    <w:tblPr/>
  </w:style>
  <w:style w:type="character" w:customStyle="1" w:styleId="BodyTextChar">
    <w:name w:val="Body Text Char"/>
    <w:basedOn w:val="DefaultParagraphFont"/>
    <w:link w:val="BodyText"/>
    <w:uiPriority w:val="99"/>
    <w:semiHidden/>
    <w:qFormat/>
    <w:rPr>
      <w:szCs w:val="28"/>
      <w:lang w:bidi="bn-IN"/>
    </w:rPr>
  </w:style>
  <w:style w:type="paragraph" w:customStyle="1" w:styleId="abstrak">
    <w:name w:val="abstrak"/>
    <w:basedOn w:val="BodyText"/>
    <w:qFormat/>
    <w:pPr>
      <w:spacing w:after="0" w:line="240" w:lineRule="auto"/>
      <w:ind w:left="567" w:right="567"/>
      <w:jc w:val="both"/>
    </w:pPr>
    <w:rPr>
      <w:rFonts w:ascii="Times New Roman" w:eastAsia="SimSun" w:hAnsi="Times New Roman" w:cs="Times New Roman"/>
      <w:spacing w:val="-1"/>
      <w:sz w:val="20"/>
      <w:szCs w:val="24"/>
      <w:lang w:eastAsia="en-US" w:bidi="ar-SA"/>
    </w:rPr>
  </w:style>
  <w:style w:type="paragraph" w:customStyle="1" w:styleId="gds-typography">
    <w:name w:val="gds-typography"/>
    <w:basedOn w:val="Normal"/>
    <w:qFormat/>
    <w:pPr>
      <w:spacing w:before="100" w:beforeAutospacing="1" w:after="100" w:afterAutospacing="1" w:line="240" w:lineRule="auto"/>
    </w:pPr>
    <w:rPr>
      <w:rFonts w:ascii="Times New Roman" w:eastAsia="Times New Roman" w:hAnsi="Times New Roman" w:cs="Times New Roman"/>
      <w:sz w:val="24"/>
      <w:szCs w:val="24"/>
      <w:lang w:val="zh-CN" w:eastAsia="zh-CN" w:bidi="ar-SA"/>
    </w:rPr>
  </w:style>
  <w:style w:type="character" w:styleId="UnresolvedMention">
    <w:name w:val="Unresolved Mention"/>
    <w:basedOn w:val="DefaultParagraphFont"/>
    <w:uiPriority w:val="99"/>
    <w:semiHidden/>
    <w:unhideWhenUsed/>
    <w:rsid w:val="00C626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mundanuralfiannisa@gmail.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zKLo5pc5U8q6g70uBouABs4UWg==">CgMxLjAyDmgueTVqZWQweGd4dmgwMg1oLjMyNzloMTk5cmdiMg5oLm8zNGUyaTh0eXBhNDIOaC5vOThubWV1emp4ZGg4AHIhMVJ1aWFBVkZ4M0kxSmhnLTV3N19yMVZYM3JpZU9ESU9M</go:docsCustomData>
</go:gDocsCustomXmlDataStorage>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046D6B60-4C89-4F48-9155-4F1B7D782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19</Pages>
  <Words>6125</Words>
  <Characters>34916</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Strengthening Legal Protection Against Trademark Counterfeiting on Online Marketplace Platforms in Indonesia Through Regulatory Accountability</vt:lpstr>
    </vt:vector>
  </TitlesOfParts>
  <Company/>
  <LinksUpToDate>false</LinksUpToDate>
  <CharactersWithSpaces>40960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Strengthening Legal Protection Against Trademark Counterfeiting on Online Marketplace Platforms in Indonesia Through Regulatory Accountability</dc:title>
  <dc:creator>LENOVO</dc:creator>
  <cp:lastModifiedBy>asus user</cp:lastModifiedBy>
  <cp:revision>11</cp:revision>
  <dcterms:created xsi:type="dcterms:W3CDTF">2026-07-16T05:34:00Z</dcterms:created>
  <dcterms:modified xsi:type="dcterms:W3CDTF">2026-07-20T04:31:00Z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2a22d3a1-c90b-3da6-85a2-5f45f7654fdf</vt:lpwstr>
  </property>
  <property fmtid="{D5CDD505-2E9C-101B-9397-08002B2CF9AE}" pid="4" name="GrammarlyDocumentId">
    <vt:lpwstr>e20a2cb0-4628-4bd9-be93-ff36b12d9860</vt:lpwstr>
  </property>
  <property fmtid="{D5CDD505-2E9C-101B-9397-08002B2CF9AE}" pid="5" name="Mendeley Citation Style_1">
    <vt:lpwstr>http://www.zotero.org/styles/chicago-fullnote-bibliography</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http://www.zotero.org/styles/chicago-author-date</vt:lpwstr>
  </property>
  <property fmtid="{D5CDD505-2E9C-101B-9397-08002B2CF9AE}" pid="13" name="Mendeley Recent Style Name 3_1">
    <vt:lpwstr>Chicago Manual of Style 17th edition (author-date)</vt:lpwstr>
  </property>
  <property fmtid="{D5CDD505-2E9C-101B-9397-08002B2CF9AE}" pid="14" name="Mendeley Recent Style Id 4_1">
    <vt:lpwstr>http://www.zotero.org/styles/chicago-fullnote-bibliography</vt:lpwstr>
  </property>
  <property fmtid="{D5CDD505-2E9C-101B-9397-08002B2CF9AE}" pid="15" name="Mendeley Recent Style Name 4_1">
    <vt:lpwstr>Chicago Manual of Style 17th edition (full note)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http://www.zotero.org/styles/harvard1</vt:lpwstr>
  </property>
  <property fmtid="{D5CDD505-2E9C-101B-9397-08002B2CF9AE}" pid="19" name="Mendeley Recent Style Name 6_1">
    <vt:lpwstr>Harvard reference format 1 (deprecated)</vt:lpwstr>
  </property>
  <property fmtid="{D5CDD505-2E9C-101B-9397-08002B2CF9AE}" pid="20" name="Mendeley Recent Style Id 7_1">
    <vt:lpwstr>http://www.zotero.org/styles/ieee</vt:lpwstr>
  </property>
  <property fmtid="{D5CDD505-2E9C-101B-9397-08002B2CF9AE}" pid="21" name="Mendeley Recent Style Name 7_1">
    <vt:lpwstr>IEEE</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KSOTemplateDocerSaveRecord">
    <vt:lpwstr>eyJoZGlkIjoiZTNlYWIxNWI2OWM5OTBjY2RjYWJkZmVlYjhlMGY2OWQiLCJ1c2VySWQiOiI4ODEzNjg0NTc4NTQ3In0=</vt:lpwstr>
  </property>
  <property fmtid="{D5CDD505-2E9C-101B-9397-08002B2CF9AE}" pid="27" name="KSOProductBuildVer">
    <vt:lpwstr>1033-12.1.0.26880</vt:lpwstr>
  </property>
  <property fmtid="{D5CDD505-2E9C-101B-9397-08002B2CF9AE}" pid="28" name="ICV">
    <vt:lpwstr>8D705199CFE54AB89F6E1091B5580B98_12</vt:lpwstr>
  </property>
</Properties>
</file>